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A680" w14:textId="6DAE5942" w:rsidR="000D308E" w:rsidRDefault="00EC4758" w:rsidP="00130255">
      <w:pPr>
        <w:spacing w:after="0" w:line="276" w:lineRule="auto"/>
        <w:jc w:val="center"/>
        <w:rPr>
          <w:rFonts w:ascii="Times New Roman" w:hAnsi="Times New Roman" w:cs="Times New Roman"/>
          <w:b/>
          <w:bCs/>
          <w:noProof/>
          <w:color w:val="51315A"/>
          <w:sz w:val="32"/>
          <w:szCs w:val="32"/>
        </w:rPr>
      </w:pPr>
      <w:bookmarkStart w:id="0" w:name="_Hlk37760468"/>
      <w:r w:rsidRPr="00595F21">
        <w:rPr>
          <w:rFonts w:ascii="Times New Roman" w:hAnsi="Times New Roman" w:cs="Times New Roman"/>
          <w:b/>
          <w:bCs/>
          <w:noProof/>
          <w:color w:val="51315A"/>
          <w:sz w:val="32"/>
          <w:szCs w:val="32"/>
        </w:rPr>
        <w:drawing>
          <wp:anchor distT="0" distB="0" distL="114300" distR="114300" simplePos="0" relativeHeight="251659264" behindDoc="1" locked="0" layoutInCell="1" allowOverlap="1" wp14:anchorId="33887553" wp14:editId="103F5FFC">
            <wp:simplePos x="0" y="0"/>
            <wp:positionH relativeFrom="page">
              <wp:align>left</wp:align>
            </wp:positionH>
            <wp:positionV relativeFrom="paragraph">
              <wp:posOffset>-520700</wp:posOffset>
            </wp:positionV>
            <wp:extent cx="2921330" cy="1479437"/>
            <wp:effectExtent l="0" t="0" r="0" b="698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1330" cy="1479437"/>
                    </a:xfrm>
                    <a:prstGeom prst="rect">
                      <a:avLst/>
                    </a:prstGeom>
                  </pic:spPr>
                </pic:pic>
              </a:graphicData>
            </a:graphic>
          </wp:anchor>
        </w:drawing>
      </w:r>
    </w:p>
    <w:p w14:paraId="2401827D" w14:textId="77777777" w:rsidR="004C5A66" w:rsidRDefault="004C5A66" w:rsidP="00EC4758">
      <w:pPr>
        <w:spacing w:line="276" w:lineRule="auto"/>
        <w:jc w:val="center"/>
        <w:rPr>
          <w:rFonts w:ascii="Times New Roman" w:hAnsi="Times New Roman" w:cs="Times New Roman"/>
          <w:b/>
          <w:bCs/>
          <w:noProof/>
          <w:color w:val="51315A"/>
          <w:sz w:val="30"/>
          <w:szCs w:val="30"/>
        </w:rPr>
      </w:pPr>
    </w:p>
    <w:p w14:paraId="3459E001" w14:textId="2A03CC81" w:rsidR="00B1792F" w:rsidRPr="00130255" w:rsidRDefault="00D74722" w:rsidP="00EC4758">
      <w:pPr>
        <w:spacing w:line="276" w:lineRule="auto"/>
        <w:jc w:val="center"/>
        <w:rPr>
          <w:rFonts w:ascii="Times New Roman" w:hAnsi="Times New Roman" w:cs="Times New Roman"/>
          <w:b/>
          <w:bCs/>
          <w:noProof/>
          <w:color w:val="51315A"/>
          <w:sz w:val="30"/>
          <w:szCs w:val="30"/>
        </w:rPr>
      </w:pPr>
      <w:r>
        <w:rPr>
          <w:rFonts w:ascii="Times New Roman" w:hAnsi="Times New Roman" w:cs="Times New Roman"/>
          <w:b/>
          <w:bCs/>
          <w:noProof/>
          <w:color w:val="51315A"/>
          <w:sz w:val="30"/>
          <w:szCs w:val="30"/>
        </w:rPr>
        <w:t>HIGHWAYS</w:t>
      </w:r>
      <w:r w:rsidR="008C4940">
        <w:rPr>
          <w:rFonts w:ascii="Times New Roman" w:hAnsi="Times New Roman" w:cs="Times New Roman"/>
          <w:b/>
          <w:bCs/>
          <w:noProof/>
          <w:color w:val="51315A"/>
          <w:sz w:val="30"/>
          <w:szCs w:val="30"/>
        </w:rPr>
        <w:t xml:space="preserve"> IN A CLIMATE CRISIS</w:t>
      </w:r>
    </w:p>
    <w:p w14:paraId="61A2A921" w14:textId="79760D6E" w:rsidR="00EC4758" w:rsidRPr="006674C6" w:rsidRDefault="006674C6" w:rsidP="00130255">
      <w:pPr>
        <w:spacing w:after="0" w:line="276" w:lineRule="auto"/>
        <w:jc w:val="center"/>
        <w:rPr>
          <w:rFonts w:ascii="Times New Roman" w:hAnsi="Times New Roman" w:cs="Times New Roman"/>
          <w:b/>
          <w:bCs/>
          <w:i/>
          <w:iCs/>
          <w:noProof/>
          <w:color w:val="51315A"/>
          <w:sz w:val="28"/>
          <w:szCs w:val="28"/>
        </w:rPr>
      </w:pPr>
      <w:r w:rsidRPr="006674C6">
        <w:rPr>
          <w:rFonts w:ascii="Times New Roman" w:hAnsi="Times New Roman" w:cs="Times New Roman"/>
          <w:b/>
          <w:bCs/>
          <w:i/>
          <w:iCs/>
          <w:noProof/>
          <w:color w:val="51315A"/>
          <w:sz w:val="28"/>
          <w:szCs w:val="28"/>
        </w:rPr>
        <w:t xml:space="preserve">R (Boswell) v (1) Secretary of State of Transport and (2) National Highways </w:t>
      </w:r>
      <w:r w:rsidRPr="006674C6">
        <w:rPr>
          <w:rFonts w:ascii="Times New Roman" w:hAnsi="Times New Roman" w:cs="Times New Roman"/>
          <w:b/>
          <w:bCs/>
          <w:noProof/>
          <w:color w:val="51315A"/>
          <w:sz w:val="28"/>
          <w:szCs w:val="28"/>
        </w:rPr>
        <w:t>[2023] EWHC 1710 (Admin)</w:t>
      </w:r>
    </w:p>
    <w:p w14:paraId="2759B2A1" w14:textId="77777777" w:rsidR="000D308E" w:rsidRPr="008C32AB" w:rsidRDefault="000D308E" w:rsidP="00130255">
      <w:pPr>
        <w:spacing w:after="0" w:line="240" w:lineRule="auto"/>
        <w:jc w:val="center"/>
        <w:rPr>
          <w:rFonts w:ascii="Times New Roman" w:hAnsi="Times New Roman" w:cs="Times New Roman"/>
          <w:sz w:val="24"/>
          <w:szCs w:val="24"/>
        </w:rPr>
      </w:pPr>
    </w:p>
    <w:p w14:paraId="383F4FC6" w14:textId="4ED047A7" w:rsidR="00EC4758" w:rsidRPr="008C32AB" w:rsidRDefault="00E5287F" w:rsidP="00EC4758">
      <w:pPr>
        <w:spacing w:after="0" w:line="276" w:lineRule="auto"/>
        <w:jc w:val="center"/>
        <w:rPr>
          <w:rFonts w:ascii="Times New Roman" w:hAnsi="Times New Roman" w:cs="Times New Roman"/>
          <w:noProof/>
          <w:color w:val="51315A"/>
          <w:sz w:val="24"/>
          <w:szCs w:val="24"/>
        </w:rPr>
      </w:pPr>
      <w:hyperlink r:id="rId8" w:history="1">
        <w:r w:rsidR="00EC4758" w:rsidRPr="008C32AB">
          <w:rPr>
            <w:rStyle w:val="Hyperlink"/>
            <w:rFonts w:ascii="Times New Roman" w:hAnsi="Times New Roman" w:cs="Times New Roman"/>
            <w:noProof/>
            <w:color w:val="422757"/>
            <w:sz w:val="24"/>
            <w:szCs w:val="24"/>
            <w:u w:val="none"/>
          </w:rPr>
          <w:t>Simon Randle</w:t>
        </w:r>
      </w:hyperlink>
      <w:r w:rsidR="00EC4758" w:rsidRPr="008C32AB">
        <w:rPr>
          <w:rFonts w:ascii="Times New Roman" w:hAnsi="Times New Roman" w:cs="Times New Roman"/>
          <w:noProof/>
          <w:color w:val="422757"/>
          <w:sz w:val="24"/>
          <w:szCs w:val="24"/>
        </w:rPr>
        <w:t xml:space="preserve"> and </w:t>
      </w:r>
      <w:hyperlink r:id="rId9" w:history="1">
        <w:r w:rsidR="00EC4758" w:rsidRPr="008C32AB">
          <w:rPr>
            <w:rStyle w:val="Hyperlink"/>
            <w:rFonts w:ascii="Times New Roman" w:hAnsi="Times New Roman" w:cs="Times New Roman"/>
            <w:noProof/>
            <w:color w:val="422757"/>
            <w:sz w:val="24"/>
            <w:szCs w:val="24"/>
            <w:u w:val="none"/>
          </w:rPr>
          <w:t>Vivienne Sedgley</w:t>
        </w:r>
      </w:hyperlink>
    </w:p>
    <w:p w14:paraId="568AC54F" w14:textId="05729722" w:rsidR="00373AD0" w:rsidRPr="008C32AB" w:rsidRDefault="00EC4758" w:rsidP="00CF4B14">
      <w:pPr>
        <w:spacing w:after="0" w:line="276" w:lineRule="auto"/>
        <w:jc w:val="center"/>
        <w:rPr>
          <w:rFonts w:ascii="Times New Roman" w:hAnsi="Times New Roman" w:cs="Times New Roman"/>
          <w:noProof/>
          <w:color w:val="51315A"/>
          <w:sz w:val="24"/>
          <w:szCs w:val="24"/>
        </w:rPr>
      </w:pPr>
      <w:r w:rsidRPr="008C32AB">
        <w:rPr>
          <w:rFonts w:ascii="Times New Roman" w:hAnsi="Times New Roman" w:cs="Times New Roman"/>
          <w:noProof/>
          <w:color w:val="51315A"/>
          <w:sz w:val="24"/>
          <w:szCs w:val="24"/>
        </w:rPr>
        <w:t>4-5 Gray’s Inn Square</w:t>
      </w:r>
      <w:bookmarkStart w:id="1" w:name="_Hlk37760715"/>
      <w:bookmarkEnd w:id="0"/>
    </w:p>
    <w:p w14:paraId="181CA3C2" w14:textId="77777777" w:rsidR="00CF4B14" w:rsidRPr="00CF4B14" w:rsidRDefault="00CF4B14" w:rsidP="00130255">
      <w:pPr>
        <w:spacing w:after="0" w:line="240" w:lineRule="auto"/>
        <w:jc w:val="center"/>
        <w:rPr>
          <w:rFonts w:ascii="Times New Roman" w:hAnsi="Times New Roman" w:cs="Times New Roman"/>
          <w:b/>
          <w:bCs/>
          <w:noProof/>
          <w:color w:val="51315A"/>
          <w:sz w:val="24"/>
          <w:szCs w:val="24"/>
        </w:rPr>
      </w:pPr>
    </w:p>
    <w:tbl>
      <w:tblPr>
        <w:tblStyle w:val="TableGridLight"/>
        <w:tblpPr w:leftFromText="180" w:rightFromText="180" w:vertAnchor="text" w:horzAnchor="margin" w:tblpXSpec="center" w:tblpY="163"/>
        <w:tblW w:w="8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0"/>
      </w:tblGrid>
      <w:tr w:rsidR="00EC4758" w:rsidRPr="00595F21" w14:paraId="28516D67" w14:textId="77777777" w:rsidTr="00D21E21">
        <w:tc>
          <w:tcPr>
            <w:tcW w:w="8990" w:type="dxa"/>
            <w:tcBorders>
              <w:top w:val="single" w:sz="24" w:space="0" w:color="C9C297"/>
              <w:left w:val="single" w:sz="24" w:space="0" w:color="C9C297"/>
              <w:bottom w:val="single" w:sz="24" w:space="0" w:color="C9C297"/>
              <w:right w:val="single" w:sz="24" w:space="0" w:color="C9C297"/>
            </w:tcBorders>
            <w:shd w:val="clear" w:color="auto" w:fill="51315A"/>
          </w:tcPr>
          <w:p w14:paraId="47C33EEA" w14:textId="7C2AFF0C" w:rsidR="00EC4758" w:rsidRPr="00DC396F" w:rsidRDefault="00B6242E" w:rsidP="00DC396F">
            <w:pPr>
              <w:spacing w:before="120" w:after="120" w:line="276" w:lineRule="auto"/>
              <w:jc w:val="center"/>
              <w:rPr>
                <w:rFonts w:ascii="Times New Roman" w:hAnsi="Times New Roman" w:cs="Times New Roman"/>
                <w:b/>
                <w:bCs/>
                <w:i/>
                <w:iCs/>
                <w:color w:val="C9C297"/>
                <w:sz w:val="24"/>
                <w:szCs w:val="24"/>
              </w:rPr>
            </w:pPr>
            <w:r>
              <w:rPr>
                <w:rFonts w:ascii="Times New Roman" w:hAnsi="Times New Roman" w:cs="Times New Roman"/>
                <w:b/>
                <w:bCs/>
                <w:color w:val="C9C297"/>
                <w:sz w:val="24"/>
                <w:szCs w:val="24"/>
              </w:rPr>
              <w:t>Introduction</w:t>
            </w:r>
          </w:p>
        </w:tc>
      </w:tr>
      <w:tr w:rsidR="00EC4758" w:rsidRPr="00DC396F" w14:paraId="49BEC434" w14:textId="77777777" w:rsidTr="00D21E21">
        <w:tc>
          <w:tcPr>
            <w:tcW w:w="8990" w:type="dxa"/>
            <w:tcBorders>
              <w:top w:val="single" w:sz="24" w:space="0" w:color="C9C297"/>
              <w:left w:val="single" w:sz="18" w:space="0" w:color="C9C297"/>
              <w:bottom w:val="single" w:sz="18" w:space="0" w:color="C9C297"/>
              <w:right w:val="single" w:sz="18" w:space="0" w:color="C9C297"/>
            </w:tcBorders>
            <w:shd w:val="clear" w:color="auto" w:fill="auto"/>
          </w:tcPr>
          <w:p w14:paraId="36F4DC81" w14:textId="49E7E555" w:rsidR="00500CD2" w:rsidRDefault="00971D80" w:rsidP="00CF4B14">
            <w:pPr>
              <w:spacing w:before="240" w:after="240" w:line="276" w:lineRule="auto"/>
              <w:jc w:val="both"/>
              <w:rPr>
                <w:rFonts w:ascii="Times New Roman" w:hAnsi="Times New Roman" w:cs="Times New Roman"/>
                <w:noProof/>
                <w:color w:val="51315A"/>
                <w:sz w:val="24"/>
                <w:szCs w:val="24"/>
              </w:rPr>
            </w:pPr>
            <w:r w:rsidRPr="00971D80">
              <w:rPr>
                <w:rFonts w:ascii="Times New Roman" w:hAnsi="Times New Roman" w:cs="Times New Roman"/>
                <w:noProof/>
                <w:color w:val="51315A"/>
                <w:sz w:val="24"/>
                <w:szCs w:val="24"/>
              </w:rPr>
              <w:t>Th</w:t>
            </w:r>
            <w:r w:rsidR="00286B60">
              <w:rPr>
                <w:rFonts w:ascii="Times New Roman" w:hAnsi="Times New Roman" w:cs="Times New Roman"/>
                <w:noProof/>
                <w:color w:val="51315A"/>
                <w:sz w:val="24"/>
                <w:szCs w:val="24"/>
              </w:rPr>
              <w:t>e</w:t>
            </w:r>
            <w:r w:rsidRPr="00971D80">
              <w:rPr>
                <w:rFonts w:ascii="Times New Roman" w:hAnsi="Times New Roman" w:cs="Times New Roman"/>
                <w:noProof/>
                <w:color w:val="51315A"/>
                <w:sz w:val="24"/>
                <w:szCs w:val="24"/>
              </w:rPr>
              <w:t xml:space="preserve"> </w:t>
            </w:r>
            <w:r w:rsidR="009D2070">
              <w:rPr>
                <w:rFonts w:ascii="Times New Roman" w:hAnsi="Times New Roman" w:cs="Times New Roman"/>
                <w:noProof/>
                <w:color w:val="51315A"/>
                <w:sz w:val="24"/>
                <w:szCs w:val="24"/>
              </w:rPr>
              <w:t xml:space="preserve">judgment </w:t>
            </w:r>
            <w:r w:rsidRPr="00971D80">
              <w:rPr>
                <w:rFonts w:ascii="Times New Roman" w:hAnsi="Times New Roman" w:cs="Times New Roman"/>
                <w:noProof/>
                <w:color w:val="51315A"/>
                <w:sz w:val="24"/>
                <w:szCs w:val="24"/>
              </w:rPr>
              <w:t>may not be the final word</w:t>
            </w:r>
            <w:r w:rsidR="00EB4641">
              <w:rPr>
                <w:rFonts w:ascii="Times New Roman" w:hAnsi="Times New Roman" w:cs="Times New Roman"/>
                <w:noProof/>
                <w:color w:val="51315A"/>
                <w:sz w:val="24"/>
                <w:szCs w:val="24"/>
              </w:rPr>
              <w:t xml:space="preserve">, </w:t>
            </w:r>
            <w:r w:rsidRPr="00971D80">
              <w:rPr>
                <w:rFonts w:ascii="Times New Roman" w:hAnsi="Times New Roman" w:cs="Times New Roman"/>
                <w:noProof/>
                <w:color w:val="51315A"/>
                <w:sz w:val="24"/>
                <w:szCs w:val="24"/>
              </w:rPr>
              <w:t>given a stated intention to ask the Court of Appeal to reconsider th</w:t>
            </w:r>
            <w:r w:rsidR="000F0110">
              <w:rPr>
                <w:rFonts w:ascii="Times New Roman" w:hAnsi="Times New Roman" w:cs="Times New Roman"/>
                <w:noProof/>
                <w:color w:val="51315A"/>
                <w:sz w:val="24"/>
                <w:szCs w:val="24"/>
              </w:rPr>
              <w:t>is</w:t>
            </w:r>
            <w:r w:rsidR="00F65358">
              <w:rPr>
                <w:rFonts w:ascii="Times New Roman" w:hAnsi="Times New Roman" w:cs="Times New Roman"/>
                <w:noProof/>
                <w:color w:val="51315A"/>
                <w:sz w:val="24"/>
                <w:szCs w:val="24"/>
              </w:rPr>
              <w:t xml:space="preserve"> matter</w:t>
            </w:r>
            <w:r w:rsidR="00EE4DAA">
              <w:rPr>
                <w:rFonts w:ascii="Times New Roman" w:hAnsi="Times New Roman" w:cs="Times New Roman"/>
                <w:noProof/>
                <w:color w:val="51315A"/>
                <w:sz w:val="24"/>
                <w:szCs w:val="24"/>
              </w:rPr>
              <w:t>. H</w:t>
            </w:r>
            <w:r w:rsidR="00227A8C">
              <w:rPr>
                <w:rFonts w:ascii="Times New Roman" w:hAnsi="Times New Roman" w:cs="Times New Roman"/>
                <w:noProof/>
                <w:color w:val="51315A"/>
                <w:sz w:val="24"/>
                <w:szCs w:val="24"/>
              </w:rPr>
              <w:t>owever t</w:t>
            </w:r>
            <w:r w:rsidR="00065FB8">
              <w:rPr>
                <w:rFonts w:ascii="Times New Roman" w:hAnsi="Times New Roman" w:cs="Times New Roman"/>
                <w:noProof/>
                <w:color w:val="51315A"/>
                <w:sz w:val="24"/>
                <w:szCs w:val="24"/>
              </w:rPr>
              <w:t>he</w:t>
            </w:r>
            <w:r w:rsidR="00227A8C">
              <w:rPr>
                <w:rFonts w:ascii="Times New Roman" w:hAnsi="Times New Roman" w:cs="Times New Roman"/>
                <w:noProof/>
                <w:color w:val="51315A"/>
                <w:sz w:val="24"/>
                <w:szCs w:val="24"/>
              </w:rPr>
              <w:t xml:space="preserve"> decision makes interesting reading</w:t>
            </w:r>
            <w:r w:rsidR="009D6A7C">
              <w:rPr>
                <w:rFonts w:ascii="Times New Roman" w:hAnsi="Times New Roman" w:cs="Times New Roman"/>
                <w:noProof/>
                <w:color w:val="51315A"/>
                <w:sz w:val="24"/>
                <w:szCs w:val="24"/>
              </w:rPr>
              <w:t xml:space="preserve"> on the important issue of </w:t>
            </w:r>
            <w:r w:rsidR="00500CD2">
              <w:rPr>
                <w:rFonts w:ascii="Times New Roman" w:hAnsi="Times New Roman" w:cs="Times New Roman"/>
                <w:noProof/>
                <w:color w:val="51315A"/>
                <w:sz w:val="24"/>
                <w:szCs w:val="24"/>
              </w:rPr>
              <w:t>how transport links can be promoted in light of the climate crisis</w:t>
            </w:r>
            <w:r w:rsidR="004B2634">
              <w:rPr>
                <w:rFonts w:ascii="Times New Roman" w:hAnsi="Times New Roman" w:cs="Times New Roman"/>
                <w:noProof/>
                <w:color w:val="51315A"/>
                <w:sz w:val="24"/>
                <w:szCs w:val="24"/>
              </w:rPr>
              <w:t xml:space="preserve"> – </w:t>
            </w:r>
            <w:r w:rsidR="004B2634" w:rsidRPr="00971D80">
              <w:rPr>
                <w:rFonts w:ascii="Times New Roman" w:hAnsi="Times New Roman" w:cs="Times New Roman"/>
                <w:noProof/>
                <w:color w:val="51315A"/>
                <w:sz w:val="24"/>
                <w:szCs w:val="24"/>
              </w:rPr>
              <w:t>and gives a clear steer to follow</w:t>
            </w:r>
            <w:r w:rsidR="004B2634">
              <w:rPr>
                <w:rFonts w:ascii="Times New Roman" w:hAnsi="Times New Roman" w:cs="Times New Roman"/>
                <w:noProof/>
                <w:color w:val="51315A"/>
                <w:sz w:val="24"/>
                <w:szCs w:val="24"/>
              </w:rPr>
              <w:t xml:space="preserve"> for the time being.</w:t>
            </w:r>
          </w:p>
          <w:p w14:paraId="2B56A719" w14:textId="776C377D" w:rsidR="00971D80" w:rsidRDefault="00971D80" w:rsidP="00CF4B14">
            <w:pPr>
              <w:spacing w:before="240" w:after="240" w:line="276" w:lineRule="auto"/>
              <w:jc w:val="both"/>
              <w:rPr>
                <w:rFonts w:ascii="Times New Roman" w:hAnsi="Times New Roman" w:cs="Times New Roman"/>
                <w:noProof/>
                <w:color w:val="51315A"/>
                <w:sz w:val="24"/>
                <w:szCs w:val="24"/>
              </w:rPr>
            </w:pPr>
            <w:r w:rsidRPr="00971D80">
              <w:rPr>
                <w:rFonts w:ascii="Times New Roman" w:hAnsi="Times New Roman" w:cs="Times New Roman"/>
                <w:noProof/>
                <w:color w:val="51315A"/>
                <w:sz w:val="24"/>
                <w:szCs w:val="24"/>
              </w:rPr>
              <w:t xml:space="preserve">Challenges to transport links, especially related to road construction, either in </w:t>
            </w:r>
            <w:r w:rsidR="009D6A7C">
              <w:rPr>
                <w:rFonts w:ascii="Times New Roman" w:hAnsi="Times New Roman" w:cs="Times New Roman"/>
                <w:noProof/>
                <w:color w:val="51315A"/>
                <w:sz w:val="24"/>
                <w:szCs w:val="24"/>
              </w:rPr>
              <w:t>their</w:t>
            </w:r>
            <w:r w:rsidRPr="00971D80">
              <w:rPr>
                <w:rFonts w:ascii="Times New Roman" w:hAnsi="Times New Roman" w:cs="Times New Roman"/>
                <w:noProof/>
                <w:color w:val="51315A"/>
                <w:sz w:val="24"/>
                <w:szCs w:val="24"/>
              </w:rPr>
              <w:t xml:space="preserve"> own right or as part of a development proposal, have raised questions about how such proposals can be promoted in light of the desire to curb polluting emissions.</w:t>
            </w:r>
          </w:p>
          <w:p w14:paraId="2234834A" w14:textId="025E003F" w:rsidR="009C52F2" w:rsidRDefault="002A56D3" w:rsidP="00CF4B14">
            <w:pPr>
              <w:spacing w:before="240" w:after="240" w:line="276" w:lineRule="auto"/>
              <w:jc w:val="both"/>
              <w:rPr>
                <w:rFonts w:ascii="Times New Roman" w:hAnsi="Times New Roman" w:cs="Times New Roman"/>
                <w:noProof/>
                <w:color w:val="51315A"/>
                <w:sz w:val="24"/>
                <w:szCs w:val="24"/>
              </w:rPr>
            </w:pPr>
            <w:r>
              <w:rPr>
                <w:rFonts w:ascii="Times New Roman" w:hAnsi="Times New Roman" w:cs="Times New Roman"/>
                <w:noProof/>
                <w:color w:val="51315A"/>
                <w:sz w:val="24"/>
                <w:szCs w:val="24"/>
              </w:rPr>
              <w:t>In this case, t</w:t>
            </w:r>
            <w:r w:rsidR="0045005F">
              <w:rPr>
                <w:rFonts w:ascii="Times New Roman" w:hAnsi="Times New Roman" w:cs="Times New Roman"/>
                <w:noProof/>
                <w:color w:val="51315A"/>
                <w:sz w:val="24"/>
                <w:szCs w:val="24"/>
              </w:rPr>
              <w:t xml:space="preserve">he </w:t>
            </w:r>
            <w:r w:rsidR="009C52F2">
              <w:rPr>
                <w:rFonts w:ascii="Times New Roman" w:hAnsi="Times New Roman" w:cs="Times New Roman"/>
                <w:noProof/>
                <w:color w:val="51315A"/>
                <w:sz w:val="24"/>
                <w:szCs w:val="24"/>
              </w:rPr>
              <w:t xml:space="preserve">Court </w:t>
            </w:r>
            <w:r w:rsidR="009A763B">
              <w:rPr>
                <w:rFonts w:ascii="Times New Roman" w:hAnsi="Times New Roman" w:cs="Times New Roman"/>
                <w:noProof/>
                <w:color w:val="51315A"/>
                <w:sz w:val="24"/>
                <w:szCs w:val="24"/>
              </w:rPr>
              <w:t xml:space="preserve">concluded </w:t>
            </w:r>
            <w:r w:rsidR="00A611F5">
              <w:rPr>
                <w:rFonts w:ascii="Times New Roman" w:hAnsi="Times New Roman" w:cs="Times New Roman"/>
                <w:noProof/>
                <w:color w:val="51315A"/>
                <w:sz w:val="24"/>
                <w:szCs w:val="24"/>
              </w:rPr>
              <w:t xml:space="preserve">that </w:t>
            </w:r>
            <w:r w:rsidR="00096EEC">
              <w:rPr>
                <w:rFonts w:ascii="Times New Roman" w:hAnsi="Times New Roman" w:cs="Times New Roman"/>
                <w:noProof/>
                <w:color w:val="51315A"/>
                <w:sz w:val="24"/>
                <w:szCs w:val="24"/>
              </w:rPr>
              <w:t>the claim</w:t>
            </w:r>
            <w:r w:rsidR="00A611F5">
              <w:rPr>
                <w:rFonts w:ascii="Times New Roman" w:hAnsi="Times New Roman" w:cs="Times New Roman"/>
                <w:noProof/>
                <w:color w:val="51315A"/>
                <w:sz w:val="24"/>
                <w:szCs w:val="24"/>
              </w:rPr>
              <w:t xml:space="preserve"> was </w:t>
            </w:r>
            <w:r w:rsidR="004C514F">
              <w:rPr>
                <w:rFonts w:ascii="Times New Roman" w:hAnsi="Times New Roman" w:cs="Times New Roman"/>
                <w:noProof/>
                <w:color w:val="51315A"/>
                <w:sz w:val="24"/>
                <w:szCs w:val="24"/>
              </w:rPr>
              <w:t xml:space="preserve">really </w:t>
            </w:r>
            <w:r w:rsidR="00A611F5">
              <w:rPr>
                <w:rFonts w:ascii="Times New Roman" w:hAnsi="Times New Roman" w:cs="Times New Roman"/>
                <w:noProof/>
                <w:color w:val="51315A"/>
                <w:sz w:val="24"/>
                <w:szCs w:val="24"/>
              </w:rPr>
              <w:t xml:space="preserve">challenging </w:t>
            </w:r>
            <w:r w:rsidR="00EC7E78">
              <w:rPr>
                <w:rFonts w:ascii="Times New Roman" w:hAnsi="Times New Roman" w:cs="Times New Roman"/>
                <w:noProof/>
                <w:color w:val="51315A"/>
                <w:sz w:val="24"/>
                <w:szCs w:val="24"/>
              </w:rPr>
              <w:t>the acceptability of the carbon impacts from the three road schemes</w:t>
            </w:r>
            <w:r w:rsidR="009F66B9">
              <w:rPr>
                <w:rFonts w:ascii="Times New Roman" w:hAnsi="Times New Roman" w:cs="Times New Roman"/>
                <w:noProof/>
                <w:color w:val="51315A"/>
                <w:sz w:val="24"/>
                <w:szCs w:val="24"/>
              </w:rPr>
              <w:t>, and tha</w:t>
            </w:r>
            <w:r w:rsidR="004C514F">
              <w:rPr>
                <w:rFonts w:ascii="Times New Roman" w:hAnsi="Times New Roman" w:cs="Times New Roman"/>
                <w:noProof/>
                <w:color w:val="51315A"/>
                <w:sz w:val="24"/>
                <w:szCs w:val="24"/>
              </w:rPr>
              <w:t xml:space="preserve">t </w:t>
            </w:r>
            <w:r w:rsidR="001A736D">
              <w:rPr>
                <w:rFonts w:ascii="Times New Roman" w:hAnsi="Times New Roman" w:cs="Times New Roman"/>
                <w:noProof/>
                <w:color w:val="51315A"/>
                <w:sz w:val="24"/>
                <w:szCs w:val="24"/>
              </w:rPr>
              <w:t>it was not the role of the Courts to be drawn into the arena of the merits o</w:t>
            </w:r>
            <w:r w:rsidR="009E23E0">
              <w:rPr>
                <w:rFonts w:ascii="Times New Roman" w:hAnsi="Times New Roman" w:cs="Times New Roman"/>
                <w:noProof/>
                <w:color w:val="51315A"/>
                <w:sz w:val="24"/>
                <w:szCs w:val="24"/>
              </w:rPr>
              <w:t>f</w:t>
            </w:r>
            <w:r w:rsidR="001A736D">
              <w:rPr>
                <w:rFonts w:ascii="Times New Roman" w:hAnsi="Times New Roman" w:cs="Times New Roman"/>
                <w:noProof/>
                <w:color w:val="51315A"/>
                <w:sz w:val="24"/>
                <w:szCs w:val="24"/>
              </w:rPr>
              <w:t xml:space="preserve"> climate decision making.</w:t>
            </w:r>
          </w:p>
          <w:p w14:paraId="7DF20BE1" w14:textId="6E6397D2" w:rsidR="00056B17" w:rsidRPr="00DC396F" w:rsidRDefault="00887499" w:rsidP="00CF4B14">
            <w:pPr>
              <w:spacing w:before="240" w:after="240" w:line="276" w:lineRule="auto"/>
              <w:jc w:val="both"/>
              <w:rPr>
                <w:rFonts w:ascii="Times New Roman" w:hAnsi="Times New Roman" w:cs="Times New Roman"/>
                <w:noProof/>
                <w:color w:val="51315A"/>
                <w:sz w:val="24"/>
                <w:szCs w:val="24"/>
              </w:rPr>
            </w:pPr>
            <w:r>
              <w:rPr>
                <w:rFonts w:ascii="Times New Roman" w:hAnsi="Times New Roman" w:cs="Times New Roman"/>
                <w:noProof/>
                <w:color w:val="51315A"/>
                <w:sz w:val="24"/>
                <w:szCs w:val="24"/>
              </w:rPr>
              <w:t>Nevertheless, the</w:t>
            </w:r>
            <w:r w:rsidR="008B2AB0">
              <w:rPr>
                <w:rFonts w:ascii="Times New Roman" w:hAnsi="Times New Roman" w:cs="Times New Roman"/>
                <w:noProof/>
                <w:color w:val="51315A"/>
                <w:sz w:val="24"/>
                <w:szCs w:val="24"/>
              </w:rPr>
              <w:t xml:space="preserve"> judgment suggests greater and greater potential </w:t>
            </w:r>
            <w:r w:rsidR="00BA5C0A">
              <w:rPr>
                <w:rFonts w:ascii="Times New Roman" w:hAnsi="Times New Roman" w:cs="Times New Roman"/>
                <w:noProof/>
                <w:color w:val="51315A"/>
                <w:sz w:val="24"/>
                <w:szCs w:val="24"/>
              </w:rPr>
              <w:t xml:space="preserve">for </w:t>
            </w:r>
            <w:r w:rsidR="00704CD0">
              <w:rPr>
                <w:rFonts w:ascii="Times New Roman" w:hAnsi="Times New Roman" w:cs="Times New Roman"/>
                <w:noProof/>
                <w:color w:val="51315A"/>
                <w:sz w:val="24"/>
                <w:szCs w:val="24"/>
              </w:rPr>
              <w:t>such claims as scientific advances are made</w:t>
            </w:r>
            <w:r w:rsidR="004C03E6">
              <w:rPr>
                <w:rFonts w:ascii="Times New Roman" w:hAnsi="Times New Roman" w:cs="Times New Roman"/>
                <w:noProof/>
                <w:color w:val="51315A"/>
                <w:sz w:val="24"/>
                <w:szCs w:val="24"/>
              </w:rPr>
              <w:t>, and decision-makers are expected to keep up</w:t>
            </w:r>
            <w:r w:rsidR="00704CD0">
              <w:rPr>
                <w:rFonts w:ascii="Times New Roman" w:hAnsi="Times New Roman" w:cs="Times New Roman"/>
                <w:noProof/>
                <w:color w:val="51315A"/>
                <w:sz w:val="24"/>
                <w:szCs w:val="24"/>
              </w:rPr>
              <w:t xml:space="preserve">. The growing appetite for such claims cannot be ignored and is likely to become greater and greater </w:t>
            </w:r>
            <w:r w:rsidR="002B6E56">
              <w:rPr>
                <w:rFonts w:ascii="Times New Roman" w:hAnsi="Times New Roman" w:cs="Times New Roman"/>
                <w:noProof/>
                <w:color w:val="51315A"/>
                <w:sz w:val="24"/>
                <w:szCs w:val="24"/>
              </w:rPr>
              <w:t xml:space="preserve">in line with </w:t>
            </w:r>
            <w:r w:rsidR="001A3106">
              <w:rPr>
                <w:rFonts w:ascii="Times New Roman" w:hAnsi="Times New Roman" w:cs="Times New Roman"/>
                <w:noProof/>
                <w:color w:val="51315A"/>
                <w:sz w:val="24"/>
                <w:szCs w:val="24"/>
              </w:rPr>
              <w:t>public emphasis on the environment and carbon emissions.</w:t>
            </w:r>
          </w:p>
        </w:tc>
      </w:tr>
    </w:tbl>
    <w:p w14:paraId="0823813F" w14:textId="220EEDE4" w:rsidR="00D776A3" w:rsidRPr="00DC396F" w:rsidRDefault="00D776A3" w:rsidP="00130255">
      <w:pPr>
        <w:spacing w:after="0" w:line="240" w:lineRule="auto"/>
        <w:rPr>
          <w:sz w:val="24"/>
          <w:szCs w:val="24"/>
        </w:rPr>
      </w:pPr>
    </w:p>
    <w:tbl>
      <w:tblPr>
        <w:tblStyle w:val="TableGridLight"/>
        <w:tblpPr w:leftFromText="180" w:rightFromText="180" w:vertAnchor="text" w:horzAnchor="margin" w:tblpXSpec="center" w:tblpY="163"/>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2"/>
      </w:tblGrid>
      <w:tr w:rsidR="00EC4758" w:rsidRPr="00DC396F" w14:paraId="22398A33" w14:textId="77777777" w:rsidTr="00D21E21">
        <w:tc>
          <w:tcPr>
            <w:tcW w:w="9132" w:type="dxa"/>
            <w:tcBorders>
              <w:top w:val="single" w:sz="24" w:space="0" w:color="C9C297"/>
              <w:left w:val="single" w:sz="24" w:space="0" w:color="C9C297"/>
              <w:bottom w:val="single" w:sz="24" w:space="0" w:color="C9C297"/>
              <w:right w:val="single" w:sz="24" w:space="0" w:color="C9C297"/>
            </w:tcBorders>
            <w:shd w:val="clear" w:color="auto" w:fill="51315A"/>
          </w:tcPr>
          <w:p w14:paraId="7B2053BE" w14:textId="184C1B01" w:rsidR="00EC4758" w:rsidRPr="00DC396F" w:rsidRDefault="00742B28" w:rsidP="00DC396F">
            <w:pPr>
              <w:spacing w:before="120" w:after="120" w:line="276" w:lineRule="auto"/>
              <w:jc w:val="center"/>
              <w:rPr>
                <w:rFonts w:ascii="Times New Roman" w:hAnsi="Times New Roman" w:cs="Times New Roman"/>
                <w:b/>
                <w:bCs/>
                <w:i/>
                <w:iCs/>
                <w:color w:val="C9C297"/>
                <w:sz w:val="24"/>
                <w:szCs w:val="24"/>
              </w:rPr>
            </w:pPr>
            <w:r>
              <w:rPr>
                <w:rFonts w:ascii="Times New Roman" w:hAnsi="Times New Roman" w:cs="Times New Roman"/>
                <w:b/>
                <w:bCs/>
                <w:color w:val="C9C297"/>
                <w:sz w:val="24"/>
                <w:szCs w:val="24"/>
              </w:rPr>
              <w:t>Background</w:t>
            </w:r>
          </w:p>
        </w:tc>
      </w:tr>
      <w:tr w:rsidR="00EC4758" w:rsidRPr="00DC396F" w14:paraId="617D2B1B" w14:textId="77777777" w:rsidTr="00D21E21">
        <w:tc>
          <w:tcPr>
            <w:tcW w:w="9132" w:type="dxa"/>
            <w:tcBorders>
              <w:top w:val="single" w:sz="24" w:space="0" w:color="C9C297"/>
              <w:left w:val="single" w:sz="18" w:space="0" w:color="C9C297"/>
              <w:bottom w:val="single" w:sz="18" w:space="0" w:color="C9C297"/>
              <w:right w:val="single" w:sz="18" w:space="0" w:color="C9C297"/>
            </w:tcBorders>
            <w:shd w:val="clear" w:color="auto" w:fill="auto"/>
          </w:tcPr>
          <w:p w14:paraId="09B1D43D" w14:textId="77777777" w:rsidR="00CE593A" w:rsidRDefault="00CE593A" w:rsidP="00CE593A">
            <w:pPr>
              <w:spacing w:before="240" w:after="240" w:line="276" w:lineRule="auto"/>
              <w:jc w:val="both"/>
              <w:rPr>
                <w:rFonts w:ascii="Times New Roman" w:hAnsi="Times New Roman" w:cs="Times New Roman"/>
                <w:noProof/>
                <w:color w:val="51315A"/>
                <w:sz w:val="24"/>
                <w:szCs w:val="24"/>
              </w:rPr>
            </w:pPr>
            <w:r>
              <w:rPr>
                <w:rFonts w:ascii="Times New Roman" w:hAnsi="Times New Roman" w:cs="Times New Roman"/>
                <w:noProof/>
                <w:color w:val="51315A"/>
                <w:sz w:val="24"/>
                <w:szCs w:val="24"/>
              </w:rPr>
              <w:t xml:space="preserve">The judgment can be found </w:t>
            </w:r>
            <w:hyperlink r:id="rId10" w:history="1">
              <w:r w:rsidRPr="008566E1">
                <w:rPr>
                  <w:rStyle w:val="Hyperlink"/>
                  <w:rFonts w:ascii="Times New Roman" w:hAnsi="Times New Roman" w:cs="Times New Roman"/>
                  <w:noProof/>
                  <w:sz w:val="24"/>
                  <w:szCs w:val="24"/>
                </w:rPr>
                <w:t>here</w:t>
              </w:r>
            </w:hyperlink>
            <w:r>
              <w:rPr>
                <w:rFonts w:ascii="Times New Roman" w:hAnsi="Times New Roman" w:cs="Times New Roman"/>
                <w:noProof/>
                <w:color w:val="51315A"/>
                <w:sz w:val="24"/>
                <w:szCs w:val="24"/>
              </w:rPr>
              <w:t>.</w:t>
            </w:r>
          </w:p>
          <w:p w14:paraId="1C426D80" w14:textId="77777777" w:rsidR="00C248A8" w:rsidRDefault="00C248A8" w:rsidP="00C248A8">
            <w:pPr>
              <w:spacing w:before="240" w:after="240" w:line="276" w:lineRule="auto"/>
              <w:jc w:val="both"/>
              <w:rPr>
                <w:rFonts w:ascii="Times New Roman" w:hAnsi="Times New Roman" w:cs="Times New Roman"/>
                <w:noProof/>
                <w:color w:val="51315A"/>
                <w:sz w:val="24"/>
                <w:szCs w:val="24"/>
              </w:rPr>
            </w:pPr>
            <w:r w:rsidRPr="00DC396F">
              <w:rPr>
                <w:rFonts w:ascii="Times New Roman" w:hAnsi="Times New Roman" w:cs="Times New Roman"/>
                <w:noProof/>
                <w:color w:val="51315A"/>
                <w:sz w:val="24"/>
                <w:szCs w:val="24"/>
              </w:rPr>
              <w:t xml:space="preserve">The </w:t>
            </w:r>
            <w:r>
              <w:rPr>
                <w:rFonts w:ascii="Times New Roman" w:hAnsi="Times New Roman" w:cs="Times New Roman"/>
                <w:noProof/>
                <w:color w:val="51315A"/>
                <w:sz w:val="24"/>
                <w:szCs w:val="24"/>
              </w:rPr>
              <w:t>High Court has refused a claim for judicial review of the Secretary of State’s decisions to grant consent for three road schemes along the A47, within a 12 miles radius of Norwich. The claim was grounded in criticism of the assessment of carbon emissions.</w:t>
            </w:r>
          </w:p>
          <w:p w14:paraId="407001FF" w14:textId="78904FC0" w:rsidR="000F2E9A" w:rsidRDefault="005F165C" w:rsidP="00695ADC">
            <w:pPr>
              <w:spacing w:before="240" w:line="276" w:lineRule="auto"/>
              <w:jc w:val="both"/>
              <w:rPr>
                <w:rFonts w:ascii="Times New Roman" w:hAnsi="Times New Roman" w:cs="Times New Roman"/>
                <w:noProof/>
                <w:color w:val="51315A"/>
                <w:sz w:val="24"/>
                <w:szCs w:val="24"/>
              </w:rPr>
            </w:pPr>
            <w:r>
              <w:rPr>
                <w:rFonts w:ascii="Times New Roman" w:hAnsi="Times New Roman" w:cs="Times New Roman"/>
                <w:noProof/>
                <w:color w:val="51315A"/>
                <w:sz w:val="24"/>
                <w:szCs w:val="24"/>
              </w:rPr>
              <w:t xml:space="preserve">The Climate Change Act 2008 imposes a statutory duty on the Secretary of State </w:t>
            </w:r>
            <w:r w:rsidR="008D6E6C">
              <w:rPr>
                <w:rFonts w:ascii="Times New Roman" w:hAnsi="Times New Roman" w:cs="Times New Roman"/>
                <w:noProof/>
                <w:color w:val="51315A"/>
                <w:sz w:val="24"/>
                <w:szCs w:val="24"/>
              </w:rPr>
              <w:t>to ensure that the net UK carbon account for 2050 is at least 100% lower than the 1990 bas</w:t>
            </w:r>
            <w:r w:rsidR="00D53E92">
              <w:rPr>
                <w:rFonts w:ascii="Times New Roman" w:hAnsi="Times New Roman" w:cs="Times New Roman"/>
                <w:noProof/>
                <w:color w:val="51315A"/>
                <w:sz w:val="24"/>
                <w:szCs w:val="24"/>
              </w:rPr>
              <w:t>el</w:t>
            </w:r>
            <w:r w:rsidR="008D6E6C">
              <w:rPr>
                <w:rFonts w:ascii="Times New Roman" w:hAnsi="Times New Roman" w:cs="Times New Roman"/>
                <w:noProof/>
                <w:color w:val="51315A"/>
                <w:sz w:val="24"/>
                <w:szCs w:val="24"/>
              </w:rPr>
              <w:t>ine.</w:t>
            </w:r>
          </w:p>
          <w:p w14:paraId="3F5A5FD8" w14:textId="77777777" w:rsidR="0032150A" w:rsidRDefault="0032150A" w:rsidP="0032150A">
            <w:pPr>
              <w:spacing w:before="240" w:after="240" w:line="276" w:lineRule="auto"/>
              <w:jc w:val="both"/>
              <w:rPr>
                <w:rFonts w:ascii="Times New Roman" w:hAnsi="Times New Roman" w:cs="Times New Roman"/>
                <w:noProof/>
                <w:color w:val="51315A"/>
                <w:sz w:val="24"/>
                <w:szCs w:val="24"/>
              </w:rPr>
            </w:pPr>
            <w:r>
              <w:rPr>
                <w:rFonts w:ascii="Times New Roman" w:hAnsi="Times New Roman" w:cs="Times New Roman"/>
                <w:noProof/>
                <w:color w:val="51315A"/>
                <w:sz w:val="24"/>
                <w:szCs w:val="24"/>
              </w:rPr>
              <w:lastRenderedPageBreak/>
              <w:t>The road schemes were nationally significant infrastructure projects requiring development consent pursuant to the Planning Act 2008.</w:t>
            </w:r>
          </w:p>
          <w:p w14:paraId="75408816" w14:textId="62DAC244" w:rsidR="005C7AEF" w:rsidRDefault="005C7AEF" w:rsidP="0032150A">
            <w:pPr>
              <w:spacing w:before="240" w:after="240" w:line="276" w:lineRule="auto"/>
              <w:jc w:val="both"/>
              <w:rPr>
                <w:rFonts w:ascii="Times New Roman" w:hAnsi="Times New Roman" w:cs="Times New Roman"/>
                <w:noProof/>
                <w:color w:val="51315A"/>
                <w:sz w:val="24"/>
                <w:szCs w:val="24"/>
              </w:rPr>
            </w:pPr>
            <w:r w:rsidRPr="005C7AEF">
              <w:rPr>
                <w:rFonts w:ascii="Times New Roman" w:hAnsi="Times New Roman" w:cs="Times New Roman"/>
                <w:noProof/>
                <w:color w:val="51315A"/>
                <w:sz w:val="24"/>
                <w:szCs w:val="24"/>
              </w:rPr>
              <w:t>The Infrastructure Planning (Environmental Impact Assessment) Regulations 2017/572 set out the process of environmental impact assessment for development consent under the Planning Act</w:t>
            </w:r>
            <w:r w:rsidR="0082001D">
              <w:rPr>
                <w:rFonts w:ascii="Times New Roman" w:hAnsi="Times New Roman" w:cs="Times New Roman"/>
                <w:noProof/>
                <w:color w:val="51315A"/>
                <w:sz w:val="24"/>
                <w:szCs w:val="24"/>
              </w:rPr>
              <w:t xml:space="preserve"> 2008.</w:t>
            </w:r>
          </w:p>
          <w:p w14:paraId="1AFBF007" w14:textId="6B3A8E3F" w:rsidR="00CA04A7" w:rsidRDefault="00DD3A14" w:rsidP="00695ADC">
            <w:pPr>
              <w:spacing w:before="240" w:line="276" w:lineRule="auto"/>
              <w:jc w:val="both"/>
              <w:rPr>
                <w:rFonts w:ascii="Times New Roman" w:hAnsi="Times New Roman" w:cs="Times New Roman"/>
                <w:noProof/>
                <w:color w:val="51315A"/>
                <w:sz w:val="24"/>
                <w:szCs w:val="24"/>
              </w:rPr>
            </w:pPr>
            <w:r>
              <w:rPr>
                <w:rFonts w:ascii="Times New Roman" w:hAnsi="Times New Roman" w:cs="Times New Roman"/>
                <w:noProof/>
                <w:color w:val="51315A"/>
                <w:sz w:val="24"/>
                <w:szCs w:val="24"/>
              </w:rPr>
              <w:t>The Secretary of State had c</w:t>
            </w:r>
            <w:r w:rsidR="000F2E9A">
              <w:rPr>
                <w:rFonts w:ascii="Times New Roman" w:hAnsi="Times New Roman" w:cs="Times New Roman"/>
                <w:noProof/>
                <w:color w:val="51315A"/>
                <w:sz w:val="24"/>
                <w:szCs w:val="24"/>
              </w:rPr>
              <w:t>o</w:t>
            </w:r>
            <w:r>
              <w:rPr>
                <w:rFonts w:ascii="Times New Roman" w:hAnsi="Times New Roman" w:cs="Times New Roman"/>
                <w:noProof/>
                <w:color w:val="51315A"/>
                <w:sz w:val="24"/>
                <w:szCs w:val="24"/>
              </w:rPr>
              <w:t>n</w:t>
            </w:r>
            <w:r w:rsidR="000F2E9A">
              <w:rPr>
                <w:rFonts w:ascii="Times New Roman" w:hAnsi="Times New Roman" w:cs="Times New Roman"/>
                <w:noProof/>
                <w:color w:val="51315A"/>
                <w:sz w:val="24"/>
                <w:szCs w:val="24"/>
              </w:rPr>
              <w:t>c</w:t>
            </w:r>
            <w:r>
              <w:rPr>
                <w:rFonts w:ascii="Times New Roman" w:hAnsi="Times New Roman" w:cs="Times New Roman"/>
                <w:noProof/>
                <w:color w:val="51315A"/>
                <w:sz w:val="24"/>
                <w:szCs w:val="24"/>
              </w:rPr>
              <w:t>luded that each scheme would lead to an increase in carbon emissions.</w:t>
            </w:r>
            <w:r w:rsidR="00CC74BC">
              <w:rPr>
                <w:rFonts w:ascii="Times New Roman" w:hAnsi="Times New Roman" w:cs="Times New Roman"/>
                <w:noProof/>
                <w:color w:val="51315A"/>
                <w:sz w:val="24"/>
                <w:szCs w:val="24"/>
              </w:rPr>
              <w:t xml:space="preserve"> However, he considered the increase to be insignificant </w:t>
            </w:r>
            <w:r w:rsidR="00C341A2">
              <w:rPr>
                <w:rFonts w:ascii="Times New Roman" w:hAnsi="Times New Roman" w:cs="Times New Roman"/>
                <w:noProof/>
                <w:color w:val="51315A"/>
                <w:sz w:val="24"/>
                <w:szCs w:val="24"/>
              </w:rPr>
              <w:t>when compared with the UK’s national carbon budgets</w:t>
            </w:r>
            <w:r w:rsidR="00CA04A7">
              <w:rPr>
                <w:rFonts w:ascii="Times New Roman" w:hAnsi="Times New Roman" w:cs="Times New Roman"/>
                <w:noProof/>
                <w:color w:val="51315A"/>
                <w:sz w:val="24"/>
                <w:szCs w:val="24"/>
              </w:rPr>
              <w:t xml:space="preserve"> for 2023-2037</w:t>
            </w:r>
            <w:r w:rsidR="0094021B">
              <w:rPr>
                <w:rFonts w:ascii="Times New Roman" w:hAnsi="Times New Roman" w:cs="Times New Roman"/>
                <w:noProof/>
                <w:color w:val="51315A"/>
                <w:sz w:val="24"/>
                <w:szCs w:val="24"/>
              </w:rPr>
              <w:t>, and compatible with the UK’s trajectory towards</w:t>
            </w:r>
            <w:r w:rsidR="00391D11">
              <w:rPr>
                <w:rFonts w:ascii="Times New Roman" w:hAnsi="Times New Roman" w:cs="Times New Roman"/>
                <w:noProof/>
                <w:color w:val="51315A"/>
                <w:sz w:val="24"/>
                <w:szCs w:val="24"/>
              </w:rPr>
              <w:t xml:space="preserve"> ‘Net Zero’.</w:t>
            </w:r>
          </w:p>
          <w:p w14:paraId="0A93C1C4" w14:textId="477C0EDB" w:rsidR="00695ADC" w:rsidRPr="00695ADC" w:rsidRDefault="00C342B2" w:rsidP="00695ADC">
            <w:pPr>
              <w:spacing w:before="240" w:line="276" w:lineRule="auto"/>
              <w:jc w:val="both"/>
              <w:rPr>
                <w:rFonts w:ascii="Times New Roman" w:hAnsi="Times New Roman" w:cs="Times New Roman"/>
                <w:noProof/>
                <w:color w:val="51315A"/>
                <w:sz w:val="24"/>
                <w:szCs w:val="24"/>
              </w:rPr>
            </w:pPr>
            <w:r>
              <w:rPr>
                <w:rFonts w:ascii="Times New Roman" w:hAnsi="Times New Roman" w:cs="Times New Roman"/>
                <w:noProof/>
                <w:color w:val="51315A"/>
                <w:sz w:val="24"/>
                <w:szCs w:val="24"/>
              </w:rPr>
              <w:t xml:space="preserve">The Claimant </w:t>
            </w:r>
            <w:r w:rsidR="00F846DD">
              <w:rPr>
                <w:rFonts w:ascii="Times New Roman" w:hAnsi="Times New Roman" w:cs="Times New Roman"/>
                <w:noProof/>
                <w:color w:val="51315A"/>
                <w:sz w:val="24"/>
                <w:szCs w:val="24"/>
              </w:rPr>
              <w:t>was</w:t>
            </w:r>
            <w:r w:rsidR="00A93848">
              <w:rPr>
                <w:rFonts w:ascii="Times New Roman" w:hAnsi="Times New Roman" w:cs="Times New Roman"/>
                <w:noProof/>
                <w:color w:val="51315A"/>
                <w:sz w:val="24"/>
                <w:szCs w:val="24"/>
              </w:rPr>
              <w:t xml:space="preserve"> a </w:t>
            </w:r>
            <w:r w:rsidR="00A93848" w:rsidRPr="00A93848">
              <w:rPr>
                <w:rFonts w:ascii="Times New Roman" w:hAnsi="Times New Roman" w:cs="Times New Roman"/>
                <w:noProof/>
                <w:color w:val="51315A"/>
                <w:sz w:val="24"/>
                <w:szCs w:val="24"/>
              </w:rPr>
              <w:t>scientist with a background in computer modelling of complex phenomena, including climate change.</w:t>
            </w:r>
            <w:r w:rsidR="00A75877">
              <w:rPr>
                <w:rFonts w:ascii="Times New Roman" w:hAnsi="Times New Roman" w:cs="Times New Roman"/>
                <w:noProof/>
                <w:color w:val="51315A"/>
                <w:sz w:val="24"/>
                <w:szCs w:val="24"/>
              </w:rPr>
              <w:t xml:space="preserve"> </w:t>
            </w:r>
            <w:r w:rsidR="00905227">
              <w:rPr>
                <w:rFonts w:ascii="Times New Roman" w:hAnsi="Times New Roman" w:cs="Times New Roman"/>
                <w:noProof/>
                <w:color w:val="51315A"/>
                <w:sz w:val="24"/>
                <w:szCs w:val="24"/>
              </w:rPr>
              <w:t xml:space="preserve">He argued </w:t>
            </w:r>
            <w:r w:rsidR="00BA1CA3">
              <w:rPr>
                <w:rFonts w:ascii="Times New Roman" w:hAnsi="Times New Roman" w:cs="Times New Roman"/>
                <w:noProof/>
                <w:color w:val="51315A"/>
                <w:sz w:val="24"/>
                <w:szCs w:val="24"/>
              </w:rPr>
              <w:t xml:space="preserve">the Secretary of State had acted unlawfully by </w:t>
            </w:r>
            <w:r w:rsidR="00AC445F">
              <w:rPr>
                <w:rFonts w:ascii="Times New Roman" w:hAnsi="Times New Roman" w:cs="Times New Roman"/>
                <w:noProof/>
                <w:color w:val="51315A"/>
                <w:sz w:val="24"/>
                <w:szCs w:val="24"/>
              </w:rPr>
              <w:t>failing to meaningfully assess the combined carbon emissions from all three road schemes. The Claimant calculated</w:t>
            </w:r>
            <w:r w:rsidR="00C6663C">
              <w:rPr>
                <w:rFonts w:ascii="Times New Roman" w:hAnsi="Times New Roman" w:cs="Times New Roman"/>
                <w:noProof/>
                <w:color w:val="51315A"/>
                <w:sz w:val="24"/>
                <w:szCs w:val="24"/>
              </w:rPr>
              <w:t xml:space="preserve"> that they </w:t>
            </w:r>
            <w:r w:rsidR="00C6663C" w:rsidRPr="00C6663C">
              <w:rPr>
                <w:rFonts w:ascii="Times New Roman" w:hAnsi="Times New Roman" w:cs="Times New Roman"/>
                <w:noProof/>
                <w:color w:val="51315A"/>
                <w:sz w:val="24"/>
                <w:szCs w:val="24"/>
              </w:rPr>
              <w:t>amount</w:t>
            </w:r>
            <w:r w:rsidR="00C6663C">
              <w:rPr>
                <w:rFonts w:ascii="Times New Roman" w:hAnsi="Times New Roman" w:cs="Times New Roman"/>
                <w:noProof/>
                <w:color w:val="51315A"/>
                <w:sz w:val="24"/>
                <w:szCs w:val="24"/>
              </w:rPr>
              <w:t>ed</w:t>
            </w:r>
            <w:r w:rsidR="00C6663C" w:rsidRPr="00C6663C">
              <w:rPr>
                <w:rFonts w:ascii="Times New Roman" w:hAnsi="Times New Roman" w:cs="Times New Roman"/>
                <w:noProof/>
                <w:color w:val="51315A"/>
                <w:sz w:val="24"/>
                <w:szCs w:val="24"/>
              </w:rPr>
              <w:t xml:space="preserve"> to 0.47% of the UK’s 6th national carbon budget</w:t>
            </w:r>
            <w:r w:rsidR="00C6663C">
              <w:rPr>
                <w:rFonts w:ascii="Times New Roman" w:hAnsi="Times New Roman" w:cs="Times New Roman"/>
                <w:noProof/>
                <w:color w:val="51315A"/>
                <w:sz w:val="24"/>
                <w:szCs w:val="24"/>
              </w:rPr>
              <w:t xml:space="preserve">, and the </w:t>
            </w:r>
            <w:r w:rsidR="001B2010">
              <w:rPr>
                <w:rFonts w:ascii="Times New Roman" w:hAnsi="Times New Roman" w:cs="Times New Roman"/>
                <w:noProof/>
                <w:color w:val="51315A"/>
                <w:sz w:val="24"/>
                <w:szCs w:val="24"/>
              </w:rPr>
              <w:t xml:space="preserve">use of </w:t>
            </w:r>
            <w:r w:rsidR="00C6663C" w:rsidRPr="00C6663C">
              <w:rPr>
                <w:rFonts w:ascii="Times New Roman" w:hAnsi="Times New Roman" w:cs="Times New Roman"/>
                <w:noProof/>
                <w:color w:val="51315A"/>
                <w:sz w:val="24"/>
                <w:szCs w:val="24"/>
              </w:rPr>
              <w:t xml:space="preserve">almost half a percent for relatively small schemes in a small area of Norfolk </w:t>
            </w:r>
            <w:r w:rsidR="009E796B">
              <w:rPr>
                <w:rFonts w:ascii="Times New Roman" w:hAnsi="Times New Roman" w:cs="Times New Roman"/>
                <w:noProof/>
                <w:color w:val="51315A"/>
                <w:sz w:val="24"/>
                <w:szCs w:val="24"/>
              </w:rPr>
              <w:t>left</w:t>
            </w:r>
            <w:r w:rsidR="00C6663C" w:rsidRPr="00C6663C">
              <w:rPr>
                <w:rFonts w:ascii="Times New Roman" w:hAnsi="Times New Roman" w:cs="Times New Roman"/>
                <w:noProof/>
                <w:color w:val="51315A"/>
                <w:sz w:val="24"/>
                <w:szCs w:val="24"/>
              </w:rPr>
              <w:t xml:space="preserve"> very limited emission space for other sectors of the economy</w:t>
            </w:r>
            <w:r w:rsidR="00913299">
              <w:rPr>
                <w:rFonts w:ascii="Times New Roman" w:hAnsi="Times New Roman" w:cs="Times New Roman"/>
                <w:noProof/>
                <w:color w:val="51315A"/>
                <w:sz w:val="24"/>
                <w:szCs w:val="24"/>
              </w:rPr>
              <w:t>, meaning c</w:t>
            </w:r>
            <w:r w:rsidR="00C6663C" w:rsidRPr="00C6663C">
              <w:rPr>
                <w:rFonts w:ascii="Times New Roman" w:hAnsi="Times New Roman" w:cs="Times New Roman"/>
                <w:noProof/>
                <w:color w:val="51315A"/>
                <w:sz w:val="24"/>
                <w:szCs w:val="24"/>
              </w:rPr>
              <w:t>onsiderable amounts of carbon w</w:t>
            </w:r>
            <w:r w:rsidR="00786CFC">
              <w:rPr>
                <w:rFonts w:ascii="Times New Roman" w:hAnsi="Times New Roman" w:cs="Times New Roman"/>
                <w:noProof/>
                <w:color w:val="51315A"/>
                <w:sz w:val="24"/>
                <w:szCs w:val="24"/>
              </w:rPr>
              <w:t>ould</w:t>
            </w:r>
            <w:r w:rsidR="00C6663C" w:rsidRPr="00C6663C">
              <w:rPr>
                <w:rFonts w:ascii="Times New Roman" w:hAnsi="Times New Roman" w:cs="Times New Roman"/>
                <w:noProof/>
                <w:color w:val="51315A"/>
                <w:sz w:val="24"/>
                <w:szCs w:val="24"/>
              </w:rPr>
              <w:t xml:space="preserve"> need to be offset somewhere else in the economy</w:t>
            </w:r>
            <w:r w:rsidR="00444EC6">
              <w:rPr>
                <w:rFonts w:ascii="Times New Roman" w:hAnsi="Times New Roman" w:cs="Times New Roman"/>
                <w:noProof/>
                <w:color w:val="51315A"/>
                <w:sz w:val="24"/>
                <w:szCs w:val="24"/>
              </w:rPr>
              <w:t>.</w:t>
            </w:r>
          </w:p>
        </w:tc>
      </w:tr>
    </w:tbl>
    <w:p w14:paraId="68390F99" w14:textId="481C915B" w:rsidR="00133E16" w:rsidRDefault="00133E16"/>
    <w:tbl>
      <w:tblPr>
        <w:tblStyle w:val="TableGridLight"/>
        <w:tblpPr w:leftFromText="180" w:rightFromText="180" w:vertAnchor="text" w:horzAnchor="margin" w:tblpXSpec="center" w:tblpY="163"/>
        <w:tblW w:w="9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3"/>
      </w:tblGrid>
      <w:tr w:rsidR="00EC4758" w:rsidRPr="00DC396F" w14:paraId="1E23EC52" w14:textId="77777777" w:rsidTr="00D21E21">
        <w:tc>
          <w:tcPr>
            <w:tcW w:w="9333" w:type="dxa"/>
            <w:tcBorders>
              <w:top w:val="single" w:sz="18" w:space="0" w:color="C9C297"/>
              <w:left w:val="single" w:sz="18" w:space="0" w:color="C9C297"/>
              <w:bottom w:val="single" w:sz="18" w:space="0" w:color="C9C297"/>
              <w:right w:val="single" w:sz="18" w:space="0" w:color="C9C297"/>
            </w:tcBorders>
            <w:shd w:val="clear" w:color="auto" w:fill="51315A"/>
          </w:tcPr>
          <w:p w14:paraId="3619FDA1" w14:textId="68DF520B" w:rsidR="00EC4758" w:rsidRPr="00DC396F" w:rsidRDefault="00485F7C" w:rsidP="00DC396F">
            <w:pPr>
              <w:spacing w:before="120" w:after="120" w:line="276" w:lineRule="auto"/>
              <w:jc w:val="center"/>
              <w:rPr>
                <w:rFonts w:ascii="Times New Roman" w:hAnsi="Times New Roman" w:cs="Times New Roman"/>
                <w:b/>
                <w:bCs/>
                <w:i/>
                <w:iCs/>
                <w:color w:val="C9C297"/>
                <w:sz w:val="24"/>
                <w:szCs w:val="24"/>
              </w:rPr>
            </w:pPr>
            <w:r>
              <w:rPr>
                <w:rFonts w:ascii="Times New Roman" w:hAnsi="Times New Roman" w:cs="Times New Roman"/>
                <w:b/>
                <w:bCs/>
                <w:color w:val="C9C297"/>
                <w:sz w:val="24"/>
                <w:szCs w:val="24"/>
              </w:rPr>
              <w:t>Judgment</w:t>
            </w:r>
          </w:p>
        </w:tc>
      </w:tr>
      <w:tr w:rsidR="00EC4758" w:rsidRPr="00DC396F" w14:paraId="668E768B" w14:textId="77777777" w:rsidTr="00D21E21">
        <w:tc>
          <w:tcPr>
            <w:tcW w:w="9333" w:type="dxa"/>
            <w:tcBorders>
              <w:top w:val="single" w:sz="18" w:space="0" w:color="C9C297"/>
              <w:left w:val="single" w:sz="18" w:space="0" w:color="C9C297"/>
              <w:bottom w:val="single" w:sz="18" w:space="0" w:color="C9C297"/>
              <w:right w:val="single" w:sz="18" w:space="0" w:color="C9C297"/>
            </w:tcBorders>
            <w:shd w:val="clear" w:color="auto" w:fill="auto"/>
          </w:tcPr>
          <w:p w14:paraId="29A71F05" w14:textId="4C356FFA" w:rsidR="0060669D" w:rsidRDefault="00796CC9" w:rsidP="0060669D">
            <w:pPr>
              <w:pStyle w:val="NormalWeb"/>
              <w:spacing w:before="240" w:beforeAutospacing="0" w:after="240" w:afterAutospacing="0" w:line="336" w:lineRule="auto"/>
              <w:jc w:val="both"/>
              <w:rPr>
                <w:rFonts w:eastAsiaTheme="minorHAnsi"/>
                <w:color w:val="51315A"/>
                <w:lang w:eastAsia="en-US"/>
              </w:rPr>
            </w:pPr>
            <w:r>
              <w:rPr>
                <w:rFonts w:eastAsiaTheme="minorHAnsi"/>
                <w:color w:val="51315A"/>
                <w:lang w:eastAsia="en-US"/>
              </w:rPr>
              <w:t>The Judge reached the following key conclusions:</w:t>
            </w:r>
          </w:p>
          <w:p w14:paraId="651A85E0" w14:textId="77777777" w:rsidR="00A90B8C" w:rsidRDefault="00A90B8C" w:rsidP="00796CC9">
            <w:pPr>
              <w:pStyle w:val="NormalWeb"/>
              <w:numPr>
                <w:ilvl w:val="0"/>
                <w:numId w:val="6"/>
              </w:numPr>
              <w:spacing w:before="240" w:beforeAutospacing="0" w:after="240" w:afterAutospacing="0" w:line="336" w:lineRule="auto"/>
              <w:jc w:val="both"/>
              <w:rPr>
                <w:rFonts w:eastAsiaTheme="minorHAnsi"/>
                <w:color w:val="51315A"/>
                <w:lang w:eastAsia="en-US"/>
              </w:rPr>
            </w:pPr>
            <w:r>
              <w:rPr>
                <w:rFonts w:eastAsiaTheme="minorHAnsi"/>
                <w:color w:val="51315A"/>
                <w:lang w:eastAsia="en-US"/>
              </w:rPr>
              <w:t xml:space="preserve">The cumulative impact of the schemes </w:t>
            </w:r>
            <w:r w:rsidRPr="00B020F1">
              <w:rPr>
                <w:rFonts w:eastAsiaTheme="minorHAnsi"/>
                <w:i/>
                <w:iCs/>
                <w:color w:val="51315A"/>
                <w:lang w:eastAsia="en-US"/>
              </w:rPr>
              <w:t>had</w:t>
            </w:r>
            <w:r>
              <w:rPr>
                <w:rFonts w:eastAsiaTheme="minorHAnsi"/>
                <w:color w:val="51315A"/>
                <w:lang w:eastAsia="en-US"/>
              </w:rPr>
              <w:t xml:space="preserve"> been considered, albeit not against the UK’s national carbon budgets.</w:t>
            </w:r>
          </w:p>
          <w:p w14:paraId="0FF1E806" w14:textId="0068F741" w:rsidR="00796CC9" w:rsidRDefault="00A90B8C" w:rsidP="00796CC9">
            <w:pPr>
              <w:pStyle w:val="NormalWeb"/>
              <w:numPr>
                <w:ilvl w:val="0"/>
                <w:numId w:val="6"/>
              </w:numPr>
              <w:spacing w:before="240" w:beforeAutospacing="0" w:after="240" w:afterAutospacing="0" w:line="336" w:lineRule="auto"/>
              <w:jc w:val="both"/>
              <w:rPr>
                <w:rFonts w:eastAsiaTheme="minorHAnsi"/>
                <w:color w:val="51315A"/>
                <w:lang w:eastAsia="en-US"/>
              </w:rPr>
            </w:pPr>
            <w:r>
              <w:rPr>
                <w:rFonts w:eastAsiaTheme="minorHAnsi"/>
                <w:color w:val="51315A"/>
                <w:lang w:eastAsia="en-US"/>
              </w:rPr>
              <w:t xml:space="preserve">However, </w:t>
            </w:r>
            <w:r w:rsidR="001D47A7">
              <w:rPr>
                <w:rFonts w:eastAsiaTheme="minorHAnsi"/>
                <w:color w:val="51315A"/>
                <w:lang w:eastAsia="en-US"/>
              </w:rPr>
              <w:t>t</w:t>
            </w:r>
            <w:r w:rsidR="00FC0EB8">
              <w:rPr>
                <w:rFonts w:eastAsiaTheme="minorHAnsi"/>
                <w:color w:val="51315A"/>
                <w:lang w:eastAsia="en-US"/>
              </w:rPr>
              <w:t>he question of when and how cumulative impacts should be assessed was a matter for the Secretary of State as decision-maker</w:t>
            </w:r>
            <w:r w:rsidR="00C3713D">
              <w:rPr>
                <w:rFonts w:eastAsiaTheme="minorHAnsi"/>
                <w:color w:val="51315A"/>
                <w:lang w:eastAsia="en-US"/>
              </w:rPr>
              <w:t xml:space="preserve"> (</w:t>
            </w:r>
            <w:r w:rsidR="00D65092">
              <w:rPr>
                <w:rFonts w:eastAsiaTheme="minorHAnsi"/>
                <w:color w:val="51315A"/>
                <w:lang w:eastAsia="en-US"/>
              </w:rPr>
              <w:t xml:space="preserve">see, </w:t>
            </w:r>
            <w:proofErr w:type="gramStart"/>
            <w:r w:rsidR="00D65092">
              <w:rPr>
                <w:rFonts w:eastAsiaTheme="minorHAnsi"/>
                <w:color w:val="51315A"/>
                <w:lang w:eastAsia="en-US"/>
              </w:rPr>
              <w:t>e.g.</w:t>
            </w:r>
            <w:proofErr w:type="gramEnd"/>
            <w:r w:rsidR="00D65092">
              <w:rPr>
                <w:rFonts w:eastAsiaTheme="minorHAnsi"/>
                <w:color w:val="51315A"/>
                <w:lang w:eastAsia="en-US"/>
              </w:rPr>
              <w:t xml:space="preserve"> </w:t>
            </w:r>
            <w:r w:rsidR="00567FBA" w:rsidRPr="00567FBA">
              <w:rPr>
                <w:rFonts w:eastAsiaTheme="minorHAnsi"/>
                <w:i/>
                <w:iCs/>
                <w:color w:val="51315A"/>
                <w:lang w:eastAsia="en-US"/>
              </w:rPr>
              <w:t>R (Finch) v Surrey County Council</w:t>
            </w:r>
            <w:r w:rsidR="00567FBA" w:rsidRPr="00567FBA">
              <w:rPr>
                <w:rFonts w:eastAsiaTheme="minorHAnsi"/>
                <w:color w:val="51315A"/>
                <w:lang w:eastAsia="en-US"/>
              </w:rPr>
              <w:t xml:space="preserve"> [2022] PTSR 958</w:t>
            </w:r>
            <w:r w:rsidR="00C3713D">
              <w:rPr>
                <w:rFonts w:eastAsiaTheme="minorHAnsi"/>
                <w:color w:val="51315A"/>
                <w:lang w:eastAsia="en-US"/>
              </w:rPr>
              <w:t>)</w:t>
            </w:r>
            <w:r w:rsidR="00EB10CD">
              <w:rPr>
                <w:rFonts w:eastAsiaTheme="minorHAnsi"/>
                <w:color w:val="51315A"/>
                <w:lang w:eastAsia="en-US"/>
              </w:rPr>
              <w:t xml:space="preserve">. The Court would only interfere if it was outside the range of reasonable decisions, </w:t>
            </w:r>
            <w:proofErr w:type="gramStart"/>
            <w:r w:rsidR="00EB10CD">
              <w:rPr>
                <w:rFonts w:eastAsiaTheme="minorHAnsi"/>
                <w:color w:val="51315A"/>
                <w:lang w:eastAsia="en-US"/>
              </w:rPr>
              <w:t>i.e.</w:t>
            </w:r>
            <w:proofErr w:type="gramEnd"/>
            <w:r w:rsidR="00CF383D">
              <w:rPr>
                <w:rFonts w:eastAsiaTheme="minorHAnsi"/>
                <w:color w:val="51315A"/>
                <w:lang w:eastAsia="en-US"/>
              </w:rPr>
              <w:t xml:space="preserve"> on </w:t>
            </w:r>
            <w:r w:rsidR="00CF383D">
              <w:rPr>
                <w:rFonts w:eastAsiaTheme="minorHAnsi"/>
                <w:i/>
                <w:iCs/>
                <w:color w:val="51315A"/>
                <w:lang w:eastAsia="en-US"/>
              </w:rPr>
              <w:t xml:space="preserve">Wednesbury </w:t>
            </w:r>
            <w:r w:rsidR="00CF383D">
              <w:rPr>
                <w:rFonts w:eastAsiaTheme="minorHAnsi"/>
                <w:color w:val="51315A"/>
                <w:lang w:eastAsia="en-US"/>
              </w:rPr>
              <w:t>grounds.</w:t>
            </w:r>
          </w:p>
          <w:p w14:paraId="6ED52069" w14:textId="638F8FEF" w:rsidR="004148B3" w:rsidRDefault="00BB2F44" w:rsidP="001D3636">
            <w:pPr>
              <w:pStyle w:val="NormalWeb"/>
              <w:numPr>
                <w:ilvl w:val="0"/>
                <w:numId w:val="6"/>
              </w:numPr>
              <w:spacing w:before="240" w:beforeAutospacing="0" w:after="240" w:afterAutospacing="0" w:line="336" w:lineRule="auto"/>
              <w:jc w:val="both"/>
              <w:rPr>
                <w:rFonts w:eastAsiaTheme="minorHAnsi"/>
                <w:color w:val="51315A"/>
                <w:lang w:eastAsia="en-US"/>
              </w:rPr>
            </w:pPr>
            <w:r>
              <w:rPr>
                <w:rFonts w:eastAsiaTheme="minorHAnsi"/>
                <w:color w:val="51315A"/>
                <w:lang w:eastAsia="en-US"/>
              </w:rPr>
              <w:t>It</w:t>
            </w:r>
            <w:r w:rsidR="008136A2">
              <w:rPr>
                <w:rFonts w:eastAsiaTheme="minorHAnsi"/>
                <w:color w:val="51315A"/>
                <w:lang w:eastAsia="en-US"/>
              </w:rPr>
              <w:t xml:space="preserve"> </w:t>
            </w:r>
            <w:r w:rsidR="00941C5B">
              <w:rPr>
                <w:rFonts w:eastAsiaTheme="minorHAnsi"/>
                <w:color w:val="51315A"/>
                <w:lang w:eastAsia="en-US"/>
              </w:rPr>
              <w:t>was logical</w:t>
            </w:r>
            <w:r w:rsidR="003D58EE">
              <w:rPr>
                <w:rFonts w:eastAsiaTheme="minorHAnsi"/>
                <w:color w:val="51315A"/>
                <w:lang w:eastAsia="en-US"/>
              </w:rPr>
              <w:t>ly</w:t>
            </w:r>
            <w:r w:rsidR="00941C5B">
              <w:rPr>
                <w:rFonts w:eastAsiaTheme="minorHAnsi"/>
                <w:color w:val="51315A"/>
                <w:lang w:eastAsia="en-US"/>
              </w:rPr>
              <w:t xml:space="preserve"> coheren</w:t>
            </w:r>
            <w:r w:rsidR="003D58EE">
              <w:rPr>
                <w:rFonts w:eastAsiaTheme="minorHAnsi"/>
                <w:color w:val="51315A"/>
                <w:lang w:eastAsia="en-US"/>
              </w:rPr>
              <w:t>t</w:t>
            </w:r>
            <w:r>
              <w:rPr>
                <w:rFonts w:eastAsiaTheme="minorHAnsi"/>
                <w:color w:val="51315A"/>
                <w:lang w:eastAsia="en-US"/>
              </w:rPr>
              <w:t xml:space="preserve"> not to assess </w:t>
            </w:r>
            <w:r>
              <w:rPr>
                <w:rFonts w:eastAsiaTheme="minorHAnsi"/>
                <w:i/>
                <w:iCs/>
                <w:color w:val="51315A"/>
                <w:lang w:eastAsia="en-US"/>
              </w:rPr>
              <w:t xml:space="preserve">local </w:t>
            </w:r>
            <w:r>
              <w:rPr>
                <w:rFonts w:eastAsiaTheme="minorHAnsi"/>
                <w:color w:val="51315A"/>
                <w:lang w:eastAsia="en-US"/>
              </w:rPr>
              <w:t xml:space="preserve">road schemes against </w:t>
            </w:r>
            <w:r>
              <w:rPr>
                <w:rFonts w:eastAsiaTheme="minorHAnsi"/>
                <w:i/>
                <w:iCs/>
                <w:color w:val="51315A"/>
                <w:lang w:eastAsia="en-US"/>
              </w:rPr>
              <w:t xml:space="preserve">national </w:t>
            </w:r>
            <w:r>
              <w:rPr>
                <w:rFonts w:eastAsiaTheme="minorHAnsi"/>
                <w:color w:val="51315A"/>
                <w:lang w:eastAsia="en-US"/>
              </w:rPr>
              <w:t>targets</w:t>
            </w:r>
            <w:r w:rsidR="0064641D">
              <w:rPr>
                <w:rFonts w:eastAsiaTheme="minorHAnsi"/>
                <w:color w:val="51315A"/>
                <w:lang w:eastAsia="en-US"/>
              </w:rPr>
              <w:t xml:space="preserve"> where carbon emission</w:t>
            </w:r>
            <w:r w:rsidR="00F17AE3">
              <w:rPr>
                <w:rFonts w:eastAsiaTheme="minorHAnsi"/>
                <w:color w:val="51315A"/>
                <w:lang w:eastAsia="en-US"/>
              </w:rPr>
              <w:t>s</w:t>
            </w:r>
            <w:r w:rsidR="0064641D">
              <w:rPr>
                <w:rFonts w:eastAsiaTheme="minorHAnsi"/>
                <w:color w:val="51315A"/>
                <w:lang w:eastAsia="en-US"/>
              </w:rPr>
              <w:t xml:space="preserve"> d</w:t>
            </w:r>
            <w:r w:rsidR="00F17AE3">
              <w:rPr>
                <w:rFonts w:eastAsiaTheme="minorHAnsi"/>
                <w:color w:val="51315A"/>
                <w:lang w:eastAsia="en-US"/>
              </w:rPr>
              <w:t>o</w:t>
            </w:r>
            <w:r w:rsidR="0064641D">
              <w:rPr>
                <w:rFonts w:eastAsiaTheme="minorHAnsi"/>
                <w:color w:val="51315A"/>
                <w:lang w:eastAsia="en-US"/>
              </w:rPr>
              <w:t xml:space="preserve"> not have a local geographical limit.</w:t>
            </w:r>
            <w:r w:rsidR="0041603F">
              <w:rPr>
                <w:rFonts w:eastAsiaTheme="minorHAnsi"/>
                <w:color w:val="51315A"/>
                <w:lang w:eastAsia="en-US"/>
              </w:rPr>
              <w:t xml:space="preserve"> </w:t>
            </w:r>
            <w:r w:rsidR="002C4FF6">
              <w:rPr>
                <w:rFonts w:eastAsiaTheme="minorHAnsi"/>
                <w:color w:val="51315A"/>
                <w:lang w:eastAsia="en-US"/>
              </w:rPr>
              <w:t>It was</w:t>
            </w:r>
            <w:r w:rsidR="002C4FF6" w:rsidRPr="002C4FF6">
              <w:rPr>
                <w:rFonts w:eastAsiaTheme="minorHAnsi"/>
                <w:color w:val="51315A"/>
                <w:lang w:eastAsia="en-US"/>
              </w:rPr>
              <w:t xml:space="preserve"> a scientific assessment to which the Court </w:t>
            </w:r>
            <w:r w:rsidR="008A0A55">
              <w:rPr>
                <w:rFonts w:eastAsiaTheme="minorHAnsi"/>
                <w:color w:val="51315A"/>
                <w:lang w:eastAsia="en-US"/>
              </w:rPr>
              <w:t xml:space="preserve">would </w:t>
            </w:r>
            <w:r w:rsidR="002C4FF6" w:rsidRPr="002C4FF6">
              <w:rPr>
                <w:rFonts w:eastAsiaTheme="minorHAnsi"/>
                <w:color w:val="51315A"/>
                <w:lang w:eastAsia="en-US"/>
              </w:rPr>
              <w:t>afford respect (</w:t>
            </w:r>
            <w:r w:rsidR="00E10917">
              <w:rPr>
                <w:rFonts w:eastAsiaTheme="minorHAnsi"/>
                <w:color w:val="51315A"/>
                <w:lang w:eastAsia="en-US"/>
              </w:rPr>
              <w:t xml:space="preserve">see, </w:t>
            </w:r>
            <w:proofErr w:type="gramStart"/>
            <w:r w:rsidR="00E10917">
              <w:rPr>
                <w:rFonts w:eastAsiaTheme="minorHAnsi"/>
                <w:color w:val="51315A"/>
                <w:lang w:eastAsia="en-US"/>
              </w:rPr>
              <w:t>e.g.</w:t>
            </w:r>
            <w:proofErr w:type="gramEnd"/>
            <w:r w:rsidR="00E10917">
              <w:rPr>
                <w:rFonts w:eastAsiaTheme="minorHAnsi"/>
                <w:color w:val="51315A"/>
                <w:lang w:eastAsia="en-US"/>
              </w:rPr>
              <w:t xml:space="preserve"> </w:t>
            </w:r>
            <w:r w:rsidR="002C4FF6" w:rsidRPr="008D06AA">
              <w:rPr>
                <w:rFonts w:eastAsiaTheme="minorHAnsi"/>
                <w:i/>
                <w:iCs/>
                <w:color w:val="51315A"/>
                <w:lang w:eastAsia="en-US"/>
              </w:rPr>
              <w:t>R (Mott)</w:t>
            </w:r>
            <w:r w:rsidR="008D06AA" w:rsidRPr="008D06AA">
              <w:rPr>
                <w:rFonts w:eastAsiaTheme="minorHAnsi"/>
                <w:i/>
                <w:iCs/>
                <w:color w:val="51315A"/>
                <w:lang w:eastAsia="en-US"/>
              </w:rPr>
              <w:t xml:space="preserve"> </w:t>
            </w:r>
            <w:r w:rsidR="002C4FF6" w:rsidRPr="008D06AA">
              <w:rPr>
                <w:rFonts w:eastAsiaTheme="minorHAnsi"/>
                <w:i/>
                <w:iCs/>
                <w:color w:val="51315A"/>
                <w:lang w:eastAsia="en-US"/>
              </w:rPr>
              <w:t>v Environment Agency</w:t>
            </w:r>
            <w:r w:rsidR="00FE5DEE">
              <w:rPr>
                <w:rFonts w:eastAsiaTheme="minorHAnsi"/>
                <w:color w:val="51315A"/>
                <w:lang w:eastAsia="en-US"/>
              </w:rPr>
              <w:t xml:space="preserve"> </w:t>
            </w:r>
            <w:r w:rsidR="00FE5DEE" w:rsidRPr="00FE5DEE">
              <w:rPr>
                <w:rFonts w:eastAsiaTheme="minorHAnsi"/>
                <w:color w:val="51315A"/>
                <w:lang w:eastAsia="en-US"/>
              </w:rPr>
              <w:t>[2006] 1 WLR 4338</w:t>
            </w:r>
            <w:r w:rsidR="002C4FF6" w:rsidRPr="002C4FF6">
              <w:rPr>
                <w:rFonts w:eastAsiaTheme="minorHAnsi"/>
                <w:color w:val="51315A"/>
                <w:lang w:eastAsia="en-US"/>
              </w:rPr>
              <w:t>).</w:t>
            </w:r>
            <w:r w:rsidR="00564A10">
              <w:rPr>
                <w:rFonts w:eastAsiaTheme="minorHAnsi"/>
                <w:color w:val="51315A"/>
                <w:lang w:eastAsia="en-US"/>
              </w:rPr>
              <w:t xml:space="preserve">  IEMA </w:t>
            </w:r>
            <w:r w:rsidR="00E94638">
              <w:rPr>
                <w:rFonts w:eastAsiaTheme="minorHAnsi"/>
                <w:color w:val="51315A"/>
                <w:lang w:eastAsia="en-US"/>
              </w:rPr>
              <w:t>(</w:t>
            </w:r>
            <w:r w:rsidR="00E94638" w:rsidRPr="00E94638">
              <w:rPr>
                <w:rFonts w:eastAsiaTheme="minorHAnsi"/>
                <w:color w:val="51315A"/>
                <w:lang w:eastAsia="en-US"/>
              </w:rPr>
              <w:t>Institute of Environmental Management &amp; Assessment</w:t>
            </w:r>
            <w:r w:rsidR="00E94638">
              <w:rPr>
                <w:rFonts w:eastAsiaTheme="minorHAnsi"/>
                <w:color w:val="51315A"/>
                <w:lang w:eastAsia="en-US"/>
              </w:rPr>
              <w:t xml:space="preserve">) </w:t>
            </w:r>
            <w:r w:rsidR="00564A10">
              <w:rPr>
                <w:rFonts w:eastAsiaTheme="minorHAnsi"/>
                <w:color w:val="51315A"/>
                <w:lang w:eastAsia="en-US"/>
              </w:rPr>
              <w:t>Guidance suggested assessing specific cumulative projects w</w:t>
            </w:r>
            <w:r w:rsidR="00EB276F">
              <w:rPr>
                <w:rFonts w:eastAsiaTheme="minorHAnsi"/>
                <w:color w:val="51315A"/>
                <w:lang w:eastAsia="en-US"/>
              </w:rPr>
              <w:t>ould be</w:t>
            </w:r>
            <w:r w:rsidR="00564A10">
              <w:rPr>
                <w:rFonts w:eastAsiaTheme="minorHAnsi"/>
                <w:color w:val="51315A"/>
                <w:lang w:eastAsia="en-US"/>
              </w:rPr>
              <w:t xml:space="preserve"> arbitrary.</w:t>
            </w:r>
          </w:p>
          <w:p w14:paraId="1C2F5194" w14:textId="77777777" w:rsidR="007A0F30" w:rsidRDefault="006458D3" w:rsidP="000D2149">
            <w:pPr>
              <w:pStyle w:val="NormalWeb"/>
              <w:numPr>
                <w:ilvl w:val="0"/>
                <w:numId w:val="6"/>
              </w:numPr>
              <w:spacing w:before="240" w:beforeAutospacing="0" w:after="240" w:afterAutospacing="0" w:line="336" w:lineRule="auto"/>
              <w:jc w:val="both"/>
              <w:rPr>
                <w:rFonts w:eastAsiaTheme="minorHAnsi"/>
                <w:color w:val="51315A"/>
                <w:lang w:eastAsia="en-US"/>
              </w:rPr>
            </w:pPr>
            <w:r>
              <w:rPr>
                <w:rFonts w:eastAsiaTheme="minorHAnsi"/>
                <w:color w:val="51315A"/>
                <w:lang w:eastAsia="en-US"/>
              </w:rPr>
              <w:t>Although the Claim</w:t>
            </w:r>
            <w:r w:rsidR="00D3330D">
              <w:rPr>
                <w:rFonts w:eastAsiaTheme="minorHAnsi"/>
                <w:color w:val="51315A"/>
                <w:lang w:eastAsia="en-US"/>
              </w:rPr>
              <w:t xml:space="preserve">ant’s </w:t>
            </w:r>
            <w:r w:rsidR="002944C1">
              <w:rPr>
                <w:rFonts w:eastAsiaTheme="minorHAnsi"/>
                <w:color w:val="51315A"/>
                <w:lang w:eastAsia="en-US"/>
              </w:rPr>
              <w:t>concerns were acknowledged in independent guidance and recent caselaw, t</w:t>
            </w:r>
            <w:r w:rsidR="000F7DD9">
              <w:rPr>
                <w:rFonts w:eastAsiaTheme="minorHAnsi"/>
                <w:color w:val="51315A"/>
                <w:lang w:eastAsia="en-US"/>
              </w:rPr>
              <w:t xml:space="preserve">he Secretary of State’ approach was not unlawful </w:t>
            </w:r>
            <w:r w:rsidR="004C1354">
              <w:rPr>
                <w:rFonts w:eastAsiaTheme="minorHAnsi"/>
                <w:color w:val="51315A"/>
                <w:lang w:eastAsia="en-US"/>
              </w:rPr>
              <w:t xml:space="preserve">on the state of </w:t>
            </w:r>
            <w:r w:rsidR="004C1354" w:rsidRPr="009A5788">
              <w:rPr>
                <w:rFonts w:eastAsiaTheme="minorHAnsi"/>
                <w:color w:val="51315A"/>
                <w:lang w:eastAsia="en-US"/>
              </w:rPr>
              <w:t>present</w:t>
            </w:r>
            <w:r w:rsidR="004C1354">
              <w:rPr>
                <w:rFonts w:eastAsiaTheme="minorHAnsi"/>
                <w:color w:val="51315A"/>
                <w:lang w:eastAsia="en-US"/>
              </w:rPr>
              <w:t xml:space="preserve"> </w:t>
            </w:r>
            <w:r w:rsidR="004C1354">
              <w:rPr>
                <w:rFonts w:eastAsiaTheme="minorHAnsi"/>
                <w:color w:val="51315A"/>
                <w:lang w:eastAsia="en-US"/>
              </w:rPr>
              <w:lastRenderedPageBreak/>
              <w:t>scientific knowledge.</w:t>
            </w:r>
            <w:r w:rsidR="009C0D4C">
              <w:rPr>
                <w:rFonts w:eastAsiaTheme="minorHAnsi"/>
                <w:color w:val="51315A"/>
                <w:lang w:eastAsia="en-US"/>
              </w:rPr>
              <w:t xml:space="preserve"> The </w:t>
            </w:r>
            <w:r w:rsidR="00E94906">
              <w:rPr>
                <w:rFonts w:eastAsiaTheme="minorHAnsi"/>
                <w:color w:val="51315A"/>
                <w:lang w:eastAsia="en-US"/>
              </w:rPr>
              <w:t xml:space="preserve">benchmark was not </w:t>
            </w:r>
            <w:r w:rsidR="00FE641A">
              <w:rPr>
                <w:rFonts w:eastAsiaTheme="minorHAnsi"/>
                <w:color w:val="51315A"/>
                <w:lang w:eastAsia="en-US"/>
              </w:rPr>
              <w:t>a geographical or sector</w:t>
            </w:r>
            <w:r w:rsidR="00524E87">
              <w:rPr>
                <w:rFonts w:eastAsiaTheme="minorHAnsi"/>
                <w:color w:val="51315A"/>
                <w:lang w:eastAsia="en-US"/>
              </w:rPr>
              <w:t>-</w:t>
            </w:r>
            <w:r w:rsidR="00FE641A">
              <w:rPr>
                <w:rFonts w:eastAsiaTheme="minorHAnsi"/>
                <w:color w:val="51315A"/>
                <w:lang w:eastAsia="en-US"/>
              </w:rPr>
              <w:t>bound carbon target.</w:t>
            </w:r>
          </w:p>
          <w:p w14:paraId="3BFCA68E" w14:textId="5CAC739A" w:rsidR="00D12361" w:rsidRPr="00D12361" w:rsidRDefault="00D12361" w:rsidP="00D12361">
            <w:pPr>
              <w:pStyle w:val="NormalWeb"/>
              <w:spacing w:before="240" w:beforeAutospacing="0" w:after="240" w:afterAutospacing="0" w:line="336" w:lineRule="auto"/>
              <w:jc w:val="both"/>
              <w:rPr>
                <w:rFonts w:eastAsiaTheme="minorHAnsi"/>
                <w:color w:val="51315A"/>
                <w:lang w:eastAsia="en-US"/>
              </w:rPr>
            </w:pPr>
            <w:r w:rsidRPr="00D12361">
              <w:rPr>
                <w:rFonts w:eastAsiaTheme="minorHAnsi"/>
                <w:color w:val="51315A"/>
                <w:lang w:eastAsia="en-US"/>
              </w:rPr>
              <w:t xml:space="preserve">Notably, the judgment concluded by noting the IEMA guidance that </w:t>
            </w:r>
            <w:r w:rsidR="00DA4181">
              <w:rPr>
                <w:rFonts w:eastAsiaTheme="minorHAnsi"/>
                <w:i/>
                <w:iCs/>
                <w:color w:val="51315A"/>
                <w:lang w:eastAsia="en-US"/>
              </w:rPr>
              <w:t>“</w:t>
            </w:r>
            <w:r w:rsidRPr="00DA4181">
              <w:rPr>
                <w:rFonts w:eastAsiaTheme="minorHAnsi"/>
                <w:i/>
                <w:iCs/>
                <w:color w:val="51315A"/>
                <w:lang w:eastAsia="en-US"/>
              </w:rPr>
              <w:t>The available contextual information base is rapidly developing and will continue to grow in the coming years….”</w:t>
            </w:r>
            <w:r>
              <w:rPr>
                <w:rFonts w:eastAsiaTheme="minorHAnsi"/>
                <w:color w:val="51315A"/>
                <w:lang w:eastAsia="en-US"/>
              </w:rPr>
              <w:t xml:space="preserve"> </w:t>
            </w:r>
            <w:r w:rsidRPr="00D12361">
              <w:rPr>
                <w:rFonts w:eastAsiaTheme="minorHAnsi"/>
                <w:color w:val="51315A"/>
                <w:lang w:eastAsia="en-US"/>
              </w:rPr>
              <w:t xml:space="preserve">and the requirement in regulation 14(3)(b) of the 2017 Regulations that </w:t>
            </w:r>
            <w:r w:rsidRPr="00335F6E">
              <w:rPr>
                <w:rFonts w:eastAsiaTheme="minorHAnsi"/>
                <w:i/>
                <w:iCs/>
                <w:color w:val="51315A"/>
                <w:lang w:eastAsia="en-US"/>
              </w:rPr>
              <w:t>“the environmental statement…must include the information reasonably required…</w:t>
            </w:r>
            <w:proofErr w:type="gramStart"/>
            <w:r w:rsidRPr="00335F6E">
              <w:rPr>
                <w:rFonts w:eastAsiaTheme="minorHAnsi"/>
                <w:i/>
                <w:iCs/>
                <w:color w:val="51315A"/>
                <w:lang w:eastAsia="en-US"/>
              </w:rPr>
              <w:t>taking into account</w:t>
            </w:r>
            <w:proofErr w:type="gramEnd"/>
            <w:r w:rsidRPr="00335F6E">
              <w:rPr>
                <w:rFonts w:eastAsiaTheme="minorHAnsi"/>
                <w:i/>
                <w:iCs/>
                <w:color w:val="51315A"/>
                <w:lang w:eastAsia="en-US"/>
              </w:rPr>
              <w:t xml:space="preserve"> current knowledge and method of assessment.”</w:t>
            </w:r>
          </w:p>
        </w:tc>
      </w:tr>
    </w:tbl>
    <w:p w14:paraId="2BCBFAF8" w14:textId="77777777" w:rsidR="005C2F3E" w:rsidRDefault="005C2F3E" w:rsidP="00EC4758">
      <w:pPr>
        <w:spacing w:before="240" w:after="0" w:line="276" w:lineRule="auto"/>
        <w:jc w:val="right"/>
        <w:rPr>
          <w:rFonts w:ascii="Times New Roman" w:hAnsi="Times New Roman" w:cs="Times New Roman"/>
          <w:b/>
          <w:bCs/>
          <w:color w:val="422757"/>
          <w:sz w:val="24"/>
          <w:szCs w:val="24"/>
        </w:rPr>
      </w:pPr>
      <w:bookmarkStart w:id="2" w:name="_Hlk37761777"/>
      <w:bookmarkEnd w:id="1"/>
    </w:p>
    <w:tbl>
      <w:tblPr>
        <w:tblStyle w:val="TableGridLight"/>
        <w:tblpPr w:leftFromText="180" w:rightFromText="180" w:vertAnchor="text" w:horzAnchor="margin" w:tblpXSpec="center" w:tblpY="163"/>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2"/>
      </w:tblGrid>
      <w:tr w:rsidR="005C2F3E" w:rsidRPr="00DC396F" w14:paraId="090ED016" w14:textId="77777777" w:rsidTr="00385F91">
        <w:tc>
          <w:tcPr>
            <w:tcW w:w="9132" w:type="dxa"/>
            <w:tcBorders>
              <w:top w:val="single" w:sz="24" w:space="0" w:color="C9C297"/>
              <w:left w:val="single" w:sz="24" w:space="0" w:color="C9C297"/>
              <w:bottom w:val="single" w:sz="24" w:space="0" w:color="C9C297"/>
              <w:right w:val="single" w:sz="24" w:space="0" w:color="C9C297"/>
            </w:tcBorders>
            <w:shd w:val="clear" w:color="auto" w:fill="51315A"/>
          </w:tcPr>
          <w:p w14:paraId="789F0EFC" w14:textId="26517BB4" w:rsidR="005C2F3E" w:rsidRPr="00DC396F" w:rsidRDefault="005C2F3E" w:rsidP="00385F91">
            <w:pPr>
              <w:spacing w:before="120" w:after="120" w:line="276" w:lineRule="auto"/>
              <w:jc w:val="center"/>
              <w:rPr>
                <w:rFonts w:ascii="Times New Roman" w:hAnsi="Times New Roman" w:cs="Times New Roman"/>
                <w:b/>
                <w:bCs/>
                <w:i/>
                <w:iCs/>
                <w:color w:val="C9C297"/>
                <w:sz w:val="24"/>
                <w:szCs w:val="24"/>
              </w:rPr>
            </w:pPr>
            <w:r>
              <w:rPr>
                <w:rFonts w:ascii="Times New Roman" w:hAnsi="Times New Roman" w:cs="Times New Roman"/>
                <w:b/>
                <w:bCs/>
                <w:color w:val="C9C297"/>
                <w:sz w:val="24"/>
                <w:szCs w:val="24"/>
              </w:rPr>
              <w:t>Conclusion</w:t>
            </w:r>
          </w:p>
        </w:tc>
      </w:tr>
      <w:tr w:rsidR="005C2F3E" w:rsidRPr="00DC396F" w14:paraId="6B3103D7" w14:textId="77777777" w:rsidTr="00385F91">
        <w:tc>
          <w:tcPr>
            <w:tcW w:w="9132" w:type="dxa"/>
            <w:tcBorders>
              <w:top w:val="single" w:sz="24" w:space="0" w:color="C9C297"/>
              <w:left w:val="single" w:sz="18" w:space="0" w:color="C9C297"/>
              <w:bottom w:val="single" w:sz="18" w:space="0" w:color="C9C297"/>
              <w:right w:val="single" w:sz="18" w:space="0" w:color="C9C297"/>
            </w:tcBorders>
            <w:shd w:val="clear" w:color="auto" w:fill="auto"/>
          </w:tcPr>
          <w:p w14:paraId="33743827" w14:textId="0D54BB08" w:rsidR="00236A48" w:rsidRPr="00236A48" w:rsidRDefault="00236A48" w:rsidP="00236A48">
            <w:pPr>
              <w:spacing w:before="240" w:line="276" w:lineRule="auto"/>
              <w:jc w:val="both"/>
              <w:rPr>
                <w:rFonts w:ascii="Times New Roman" w:hAnsi="Times New Roman" w:cs="Times New Roman"/>
                <w:noProof/>
                <w:color w:val="51315A"/>
                <w:sz w:val="24"/>
                <w:szCs w:val="24"/>
              </w:rPr>
            </w:pPr>
            <w:r w:rsidRPr="00236A48">
              <w:rPr>
                <w:rFonts w:ascii="Times New Roman" w:hAnsi="Times New Roman" w:cs="Times New Roman"/>
                <w:noProof/>
                <w:color w:val="51315A"/>
                <w:sz w:val="24"/>
                <w:szCs w:val="24"/>
              </w:rPr>
              <w:t>This decision has the potential to add significantly to the debate and gives a helpful indication as to the lawful approach to be followed. It will, no doubt</w:t>
            </w:r>
            <w:r w:rsidR="00A3185A">
              <w:rPr>
                <w:rFonts w:ascii="Times New Roman" w:hAnsi="Times New Roman" w:cs="Times New Roman"/>
                <w:noProof/>
                <w:color w:val="51315A"/>
                <w:sz w:val="24"/>
                <w:szCs w:val="24"/>
              </w:rPr>
              <w:t>,</w:t>
            </w:r>
            <w:r w:rsidRPr="00236A48">
              <w:rPr>
                <w:rFonts w:ascii="Times New Roman" w:hAnsi="Times New Roman" w:cs="Times New Roman"/>
                <w:noProof/>
                <w:color w:val="51315A"/>
                <w:sz w:val="24"/>
                <w:szCs w:val="24"/>
              </w:rPr>
              <w:t xml:space="preserve"> assist many as to how</w:t>
            </w:r>
            <w:r w:rsidR="00A3185A">
              <w:rPr>
                <w:rFonts w:ascii="Times New Roman" w:hAnsi="Times New Roman" w:cs="Times New Roman"/>
                <w:noProof/>
                <w:color w:val="51315A"/>
                <w:sz w:val="24"/>
                <w:szCs w:val="24"/>
              </w:rPr>
              <w:t xml:space="preserve"> best</w:t>
            </w:r>
            <w:r w:rsidRPr="00236A48">
              <w:rPr>
                <w:rFonts w:ascii="Times New Roman" w:hAnsi="Times New Roman" w:cs="Times New Roman"/>
                <w:noProof/>
                <w:color w:val="51315A"/>
                <w:sz w:val="24"/>
                <w:szCs w:val="24"/>
              </w:rPr>
              <w:t xml:space="preserve"> to proceed</w:t>
            </w:r>
            <w:r w:rsidR="00A3185A">
              <w:rPr>
                <w:rFonts w:ascii="Times New Roman" w:hAnsi="Times New Roman" w:cs="Times New Roman"/>
                <w:noProof/>
                <w:color w:val="51315A"/>
                <w:sz w:val="24"/>
                <w:szCs w:val="24"/>
              </w:rPr>
              <w:t>,</w:t>
            </w:r>
            <w:r w:rsidR="00A3185A" w:rsidRPr="00236A48">
              <w:rPr>
                <w:rFonts w:ascii="Times New Roman" w:hAnsi="Times New Roman" w:cs="Times New Roman"/>
                <w:noProof/>
                <w:color w:val="51315A"/>
                <w:sz w:val="24"/>
                <w:szCs w:val="24"/>
              </w:rPr>
              <w:t xml:space="preserve"> including</w:t>
            </w:r>
            <w:r w:rsidR="00C41168">
              <w:rPr>
                <w:rFonts w:ascii="Times New Roman" w:hAnsi="Times New Roman" w:cs="Times New Roman"/>
                <w:noProof/>
                <w:color w:val="51315A"/>
                <w:sz w:val="24"/>
                <w:szCs w:val="24"/>
              </w:rPr>
              <w:t xml:space="preserve"> both</w:t>
            </w:r>
            <w:r w:rsidR="00A3185A" w:rsidRPr="00236A48">
              <w:rPr>
                <w:rFonts w:ascii="Times New Roman" w:hAnsi="Times New Roman" w:cs="Times New Roman"/>
                <w:noProof/>
                <w:color w:val="51315A"/>
                <w:sz w:val="24"/>
                <w:szCs w:val="24"/>
              </w:rPr>
              <w:t xml:space="preserve"> promoters </w:t>
            </w:r>
            <w:r w:rsidR="00A3185A">
              <w:rPr>
                <w:rFonts w:ascii="Times New Roman" w:hAnsi="Times New Roman" w:cs="Times New Roman"/>
                <w:noProof/>
                <w:color w:val="51315A"/>
                <w:sz w:val="24"/>
                <w:szCs w:val="24"/>
              </w:rPr>
              <w:t>and</w:t>
            </w:r>
            <w:r w:rsidR="00A3185A" w:rsidRPr="00236A48">
              <w:rPr>
                <w:rFonts w:ascii="Times New Roman" w:hAnsi="Times New Roman" w:cs="Times New Roman"/>
                <w:noProof/>
                <w:color w:val="51315A"/>
                <w:sz w:val="24"/>
                <w:szCs w:val="24"/>
              </w:rPr>
              <w:t xml:space="preserve"> those opposed to </w:t>
            </w:r>
            <w:r w:rsidR="00116645">
              <w:rPr>
                <w:rFonts w:ascii="Times New Roman" w:hAnsi="Times New Roman" w:cs="Times New Roman"/>
                <w:noProof/>
                <w:color w:val="51315A"/>
                <w:sz w:val="24"/>
                <w:szCs w:val="24"/>
              </w:rPr>
              <w:t>such proposals.</w:t>
            </w:r>
          </w:p>
          <w:p w14:paraId="726D0EB3" w14:textId="77777777" w:rsidR="006E7D2B" w:rsidRDefault="00654C41" w:rsidP="00DF3BCF">
            <w:pPr>
              <w:spacing w:before="240" w:line="276" w:lineRule="auto"/>
              <w:jc w:val="both"/>
              <w:rPr>
                <w:rFonts w:ascii="Times New Roman" w:hAnsi="Times New Roman" w:cs="Times New Roman"/>
                <w:noProof/>
                <w:color w:val="51315A"/>
                <w:sz w:val="24"/>
                <w:szCs w:val="24"/>
              </w:rPr>
            </w:pPr>
            <w:r>
              <w:rPr>
                <w:rFonts w:ascii="Times New Roman" w:hAnsi="Times New Roman" w:cs="Times New Roman"/>
                <w:noProof/>
                <w:color w:val="51315A"/>
                <w:sz w:val="24"/>
                <w:szCs w:val="24"/>
              </w:rPr>
              <w:t>H</w:t>
            </w:r>
            <w:r w:rsidR="00236A48" w:rsidRPr="00236A48">
              <w:rPr>
                <w:rFonts w:ascii="Times New Roman" w:hAnsi="Times New Roman" w:cs="Times New Roman"/>
                <w:noProof/>
                <w:color w:val="51315A"/>
                <w:sz w:val="24"/>
                <w:szCs w:val="24"/>
              </w:rPr>
              <w:t>owever</w:t>
            </w:r>
            <w:r>
              <w:rPr>
                <w:rFonts w:ascii="Times New Roman" w:hAnsi="Times New Roman" w:cs="Times New Roman"/>
                <w:noProof/>
                <w:color w:val="51315A"/>
                <w:sz w:val="24"/>
                <w:szCs w:val="24"/>
              </w:rPr>
              <w:t>, it is</w:t>
            </w:r>
            <w:r w:rsidR="00236A48" w:rsidRPr="00236A48">
              <w:rPr>
                <w:rFonts w:ascii="Times New Roman" w:hAnsi="Times New Roman" w:cs="Times New Roman"/>
                <w:noProof/>
                <w:color w:val="51315A"/>
                <w:sz w:val="24"/>
                <w:szCs w:val="24"/>
              </w:rPr>
              <w:t xml:space="preserve"> unlikely to be the end of the argument</w:t>
            </w:r>
            <w:r w:rsidR="00DF3BCF">
              <w:rPr>
                <w:rFonts w:ascii="Times New Roman" w:hAnsi="Times New Roman" w:cs="Times New Roman"/>
                <w:noProof/>
                <w:color w:val="51315A"/>
                <w:sz w:val="24"/>
                <w:szCs w:val="24"/>
              </w:rPr>
              <w:t>.</w:t>
            </w:r>
          </w:p>
          <w:p w14:paraId="40C7C507" w14:textId="77777777" w:rsidR="006E7D2B" w:rsidRDefault="00DF3BCF" w:rsidP="00DF3BCF">
            <w:pPr>
              <w:spacing w:before="240" w:line="276" w:lineRule="auto"/>
              <w:jc w:val="both"/>
              <w:rPr>
                <w:rFonts w:ascii="Times New Roman" w:hAnsi="Times New Roman" w:cs="Times New Roman"/>
                <w:noProof/>
                <w:color w:val="51315A"/>
                <w:sz w:val="24"/>
                <w:szCs w:val="24"/>
              </w:rPr>
            </w:pPr>
            <w:r>
              <w:rPr>
                <w:rFonts w:ascii="Times New Roman" w:hAnsi="Times New Roman" w:cs="Times New Roman"/>
                <w:noProof/>
                <w:color w:val="51315A"/>
                <w:sz w:val="24"/>
                <w:szCs w:val="24"/>
              </w:rPr>
              <w:t>Firstly, t</w:t>
            </w:r>
            <w:r w:rsidR="00236A48" w:rsidRPr="00DF3BCF">
              <w:rPr>
                <w:rFonts w:ascii="Times New Roman" w:hAnsi="Times New Roman" w:cs="Times New Roman"/>
                <w:noProof/>
                <w:color w:val="51315A"/>
                <w:sz w:val="24"/>
                <w:szCs w:val="24"/>
              </w:rPr>
              <w:t>he Court of Appeal may look at the issue.</w:t>
            </w:r>
          </w:p>
          <w:p w14:paraId="35A4B57F" w14:textId="2BC1B19E" w:rsidR="00403D07" w:rsidRDefault="00DF3BCF" w:rsidP="00DF3BCF">
            <w:pPr>
              <w:spacing w:before="240" w:line="276" w:lineRule="auto"/>
              <w:jc w:val="both"/>
              <w:rPr>
                <w:rFonts w:ascii="Times New Roman" w:hAnsi="Times New Roman" w:cs="Times New Roman"/>
                <w:noProof/>
                <w:color w:val="51315A"/>
                <w:sz w:val="24"/>
                <w:szCs w:val="24"/>
              </w:rPr>
            </w:pPr>
            <w:r>
              <w:rPr>
                <w:rFonts w:ascii="Times New Roman" w:hAnsi="Times New Roman" w:cs="Times New Roman"/>
                <w:noProof/>
                <w:color w:val="51315A"/>
                <w:sz w:val="24"/>
                <w:szCs w:val="24"/>
              </w:rPr>
              <w:t>Second</w:t>
            </w:r>
            <w:r w:rsidR="00A818EA">
              <w:rPr>
                <w:rFonts w:ascii="Times New Roman" w:hAnsi="Times New Roman" w:cs="Times New Roman"/>
                <w:noProof/>
                <w:color w:val="51315A"/>
                <w:sz w:val="24"/>
                <w:szCs w:val="24"/>
              </w:rPr>
              <w:t>ly</w:t>
            </w:r>
            <w:r>
              <w:rPr>
                <w:rFonts w:ascii="Times New Roman" w:hAnsi="Times New Roman" w:cs="Times New Roman"/>
                <w:noProof/>
                <w:color w:val="51315A"/>
                <w:sz w:val="24"/>
                <w:szCs w:val="24"/>
              </w:rPr>
              <w:t>, t</w:t>
            </w:r>
            <w:r w:rsidR="00236A48" w:rsidRPr="00DF3BCF">
              <w:rPr>
                <w:rFonts w:ascii="Times New Roman" w:hAnsi="Times New Roman" w:cs="Times New Roman"/>
                <w:noProof/>
                <w:color w:val="51315A"/>
                <w:sz w:val="24"/>
                <w:szCs w:val="24"/>
              </w:rPr>
              <w:t xml:space="preserve">he scientific </w:t>
            </w:r>
            <w:r>
              <w:rPr>
                <w:rFonts w:ascii="Times New Roman" w:hAnsi="Times New Roman" w:cs="Times New Roman"/>
                <w:noProof/>
                <w:color w:val="51315A"/>
                <w:sz w:val="24"/>
                <w:szCs w:val="24"/>
              </w:rPr>
              <w:t xml:space="preserve">evidence </w:t>
            </w:r>
            <w:r w:rsidR="00236A48" w:rsidRPr="00DF3BCF">
              <w:rPr>
                <w:rFonts w:ascii="Times New Roman" w:hAnsi="Times New Roman" w:cs="Times New Roman"/>
                <w:noProof/>
                <w:color w:val="51315A"/>
                <w:sz w:val="24"/>
                <w:szCs w:val="24"/>
              </w:rPr>
              <w:t xml:space="preserve">base will </w:t>
            </w:r>
            <w:r>
              <w:rPr>
                <w:rFonts w:ascii="Times New Roman" w:hAnsi="Times New Roman" w:cs="Times New Roman"/>
                <w:noProof/>
                <w:color w:val="51315A"/>
                <w:sz w:val="24"/>
                <w:szCs w:val="24"/>
              </w:rPr>
              <w:t xml:space="preserve">continue </w:t>
            </w:r>
            <w:r w:rsidR="00D775E7">
              <w:rPr>
                <w:rFonts w:ascii="Times New Roman" w:hAnsi="Times New Roman" w:cs="Times New Roman"/>
                <w:noProof/>
                <w:color w:val="51315A"/>
                <w:sz w:val="24"/>
                <w:szCs w:val="24"/>
              </w:rPr>
              <w:t xml:space="preserve">to </w:t>
            </w:r>
            <w:r w:rsidR="00236A48" w:rsidRPr="00DF3BCF">
              <w:rPr>
                <w:rFonts w:ascii="Times New Roman" w:hAnsi="Times New Roman" w:cs="Times New Roman"/>
                <w:noProof/>
                <w:color w:val="51315A"/>
                <w:sz w:val="24"/>
                <w:szCs w:val="24"/>
              </w:rPr>
              <w:t>develop and potentially improve</w:t>
            </w:r>
            <w:r w:rsidR="00BA2055">
              <w:rPr>
                <w:rFonts w:ascii="Times New Roman" w:hAnsi="Times New Roman" w:cs="Times New Roman"/>
                <w:noProof/>
                <w:color w:val="51315A"/>
                <w:sz w:val="24"/>
                <w:szCs w:val="24"/>
              </w:rPr>
              <w:t>. This w</w:t>
            </w:r>
            <w:r w:rsidR="00236A48" w:rsidRPr="00DF3BCF">
              <w:rPr>
                <w:rFonts w:ascii="Times New Roman" w:hAnsi="Times New Roman" w:cs="Times New Roman"/>
                <w:noProof/>
                <w:color w:val="51315A"/>
                <w:sz w:val="24"/>
                <w:szCs w:val="24"/>
              </w:rPr>
              <w:t>ill need to be reflected in</w:t>
            </w:r>
            <w:r w:rsidR="00B014A4">
              <w:rPr>
                <w:rFonts w:ascii="Times New Roman" w:hAnsi="Times New Roman" w:cs="Times New Roman"/>
                <w:noProof/>
                <w:color w:val="51315A"/>
                <w:sz w:val="24"/>
                <w:szCs w:val="24"/>
              </w:rPr>
              <w:t xml:space="preserve"> the evidence that will need to be produced in respect of any individual proposal,</w:t>
            </w:r>
            <w:r w:rsidR="00236A48" w:rsidRPr="00DF3BCF">
              <w:rPr>
                <w:rFonts w:ascii="Times New Roman" w:hAnsi="Times New Roman" w:cs="Times New Roman"/>
                <w:noProof/>
                <w:color w:val="51315A"/>
                <w:sz w:val="24"/>
                <w:szCs w:val="24"/>
              </w:rPr>
              <w:t xml:space="preserve"> the approach that may need to be followed</w:t>
            </w:r>
            <w:r w:rsidR="00BA2055">
              <w:rPr>
                <w:rFonts w:ascii="Times New Roman" w:hAnsi="Times New Roman" w:cs="Times New Roman"/>
                <w:noProof/>
                <w:color w:val="51315A"/>
                <w:sz w:val="24"/>
                <w:szCs w:val="24"/>
              </w:rPr>
              <w:t xml:space="preserve"> be decision-makers and has </w:t>
            </w:r>
            <w:r w:rsidR="00BA2055" w:rsidRPr="00DF3BCF">
              <w:rPr>
                <w:rFonts w:ascii="Times New Roman" w:hAnsi="Times New Roman" w:cs="Times New Roman"/>
                <w:noProof/>
                <w:color w:val="51315A"/>
                <w:sz w:val="24"/>
                <w:szCs w:val="24"/>
              </w:rPr>
              <w:t>potential to change the outcome</w:t>
            </w:r>
            <w:r w:rsidR="00236A48" w:rsidRPr="00DF3BCF">
              <w:rPr>
                <w:rFonts w:ascii="Times New Roman" w:hAnsi="Times New Roman" w:cs="Times New Roman"/>
                <w:noProof/>
                <w:color w:val="51315A"/>
                <w:sz w:val="24"/>
                <w:szCs w:val="24"/>
              </w:rPr>
              <w:t>.</w:t>
            </w:r>
          </w:p>
          <w:p w14:paraId="709DA788" w14:textId="0F40341C" w:rsidR="005C2F3E" w:rsidRPr="00695ADC" w:rsidRDefault="00236A48" w:rsidP="00236A48">
            <w:pPr>
              <w:spacing w:before="240" w:line="276" w:lineRule="auto"/>
              <w:jc w:val="both"/>
              <w:rPr>
                <w:rFonts w:ascii="Times New Roman" w:hAnsi="Times New Roman" w:cs="Times New Roman"/>
                <w:noProof/>
                <w:color w:val="51315A"/>
                <w:sz w:val="24"/>
                <w:szCs w:val="24"/>
              </w:rPr>
            </w:pPr>
            <w:r w:rsidRPr="00DF3BCF">
              <w:rPr>
                <w:rFonts w:ascii="Times New Roman" w:hAnsi="Times New Roman" w:cs="Times New Roman"/>
                <w:noProof/>
                <w:color w:val="51315A"/>
                <w:sz w:val="24"/>
                <w:szCs w:val="24"/>
              </w:rPr>
              <w:t>At some point it is logical to assume that the argument of looking at small increments will cease to be justifiable.</w:t>
            </w:r>
            <w:r w:rsidR="00403D07">
              <w:rPr>
                <w:rFonts w:ascii="Times New Roman" w:hAnsi="Times New Roman" w:cs="Times New Roman"/>
                <w:noProof/>
                <w:color w:val="51315A"/>
                <w:sz w:val="24"/>
                <w:szCs w:val="24"/>
              </w:rPr>
              <w:t xml:space="preserve"> </w:t>
            </w:r>
            <w:r w:rsidRPr="00236A48">
              <w:rPr>
                <w:rFonts w:ascii="Times New Roman" w:hAnsi="Times New Roman" w:cs="Times New Roman"/>
                <w:noProof/>
                <w:color w:val="51315A"/>
                <w:sz w:val="24"/>
                <w:szCs w:val="24"/>
              </w:rPr>
              <w:t>This is clearly a matter to keep a careful eye on.</w:t>
            </w:r>
          </w:p>
        </w:tc>
      </w:tr>
    </w:tbl>
    <w:p w14:paraId="0DEDD8B3" w14:textId="77777777" w:rsidR="005C2F3E" w:rsidRDefault="005C2F3E" w:rsidP="00EC4758">
      <w:pPr>
        <w:spacing w:before="240" w:after="0" w:line="276" w:lineRule="auto"/>
        <w:jc w:val="right"/>
        <w:rPr>
          <w:rFonts w:ascii="Times New Roman" w:hAnsi="Times New Roman" w:cs="Times New Roman"/>
          <w:b/>
          <w:bCs/>
          <w:color w:val="422757"/>
          <w:sz w:val="24"/>
          <w:szCs w:val="24"/>
        </w:rPr>
      </w:pPr>
    </w:p>
    <w:p w14:paraId="02668DFD" w14:textId="00788D28" w:rsidR="00EC4758" w:rsidRPr="00EC4758" w:rsidRDefault="00E5287F" w:rsidP="00EC4758">
      <w:pPr>
        <w:spacing w:before="240" w:after="0" w:line="276" w:lineRule="auto"/>
        <w:jc w:val="right"/>
        <w:rPr>
          <w:rFonts w:ascii="Times New Roman" w:hAnsi="Times New Roman" w:cs="Times New Roman"/>
          <w:b/>
          <w:bCs/>
          <w:color w:val="422757"/>
          <w:sz w:val="24"/>
          <w:szCs w:val="24"/>
        </w:rPr>
      </w:pPr>
      <w:hyperlink r:id="rId11" w:history="1">
        <w:r w:rsidR="00EC4758" w:rsidRPr="00EC4758">
          <w:rPr>
            <w:rStyle w:val="Hyperlink"/>
            <w:rFonts w:ascii="Times New Roman" w:hAnsi="Times New Roman" w:cs="Times New Roman"/>
            <w:b/>
            <w:bCs/>
            <w:color w:val="422757"/>
            <w:sz w:val="24"/>
            <w:szCs w:val="24"/>
            <w:u w:val="none"/>
          </w:rPr>
          <w:t>Simon Randle</w:t>
        </w:r>
      </w:hyperlink>
    </w:p>
    <w:p w14:paraId="3361CE12" w14:textId="77777777" w:rsidR="00EC4758" w:rsidRPr="00EC4758" w:rsidRDefault="00E5287F" w:rsidP="00EC4758">
      <w:pPr>
        <w:spacing w:after="240" w:line="276" w:lineRule="auto"/>
        <w:jc w:val="right"/>
        <w:rPr>
          <w:rFonts w:ascii="Times New Roman" w:hAnsi="Times New Roman" w:cs="Times New Roman"/>
          <w:b/>
          <w:bCs/>
          <w:color w:val="422757"/>
          <w:sz w:val="24"/>
          <w:szCs w:val="24"/>
        </w:rPr>
      </w:pPr>
      <w:hyperlink r:id="rId12" w:history="1">
        <w:r w:rsidR="00EC4758" w:rsidRPr="00EC4758">
          <w:rPr>
            <w:rStyle w:val="Hyperlink"/>
            <w:rFonts w:ascii="Times New Roman" w:hAnsi="Times New Roman" w:cs="Times New Roman"/>
            <w:b/>
            <w:bCs/>
            <w:color w:val="422757"/>
            <w:sz w:val="24"/>
            <w:szCs w:val="24"/>
            <w:u w:val="none"/>
          </w:rPr>
          <w:t>Vivienne Sedgley</w:t>
        </w:r>
      </w:hyperlink>
    </w:p>
    <w:p w14:paraId="4A2B53FE" w14:textId="3777814C" w:rsidR="00EC4758" w:rsidRPr="00595F21" w:rsidRDefault="00103E15" w:rsidP="00EC4758">
      <w:pPr>
        <w:spacing w:after="240" w:line="276" w:lineRule="auto"/>
        <w:jc w:val="right"/>
        <w:rPr>
          <w:rFonts w:ascii="Times New Roman" w:hAnsi="Times New Roman" w:cs="Times New Roman"/>
          <w:b/>
          <w:bCs/>
          <w:color w:val="51315A"/>
          <w:sz w:val="24"/>
          <w:szCs w:val="24"/>
        </w:rPr>
      </w:pPr>
      <w:r>
        <w:rPr>
          <w:rFonts w:ascii="Times New Roman" w:hAnsi="Times New Roman" w:cs="Times New Roman"/>
          <w:b/>
          <w:bCs/>
          <w:color w:val="51315A"/>
          <w:sz w:val="24"/>
          <w:szCs w:val="24"/>
        </w:rPr>
        <w:t>1</w:t>
      </w:r>
      <w:r w:rsidR="007E1A09">
        <w:rPr>
          <w:rFonts w:ascii="Times New Roman" w:hAnsi="Times New Roman" w:cs="Times New Roman"/>
          <w:b/>
          <w:bCs/>
          <w:color w:val="51315A"/>
          <w:sz w:val="24"/>
          <w:szCs w:val="24"/>
        </w:rPr>
        <w:t>3</w:t>
      </w:r>
      <w:r>
        <w:rPr>
          <w:rFonts w:ascii="Times New Roman" w:hAnsi="Times New Roman" w:cs="Times New Roman"/>
          <w:b/>
          <w:bCs/>
          <w:color w:val="51315A"/>
          <w:sz w:val="24"/>
          <w:szCs w:val="24"/>
        </w:rPr>
        <w:t xml:space="preserve"> July</w:t>
      </w:r>
      <w:r w:rsidR="00EC4758" w:rsidRPr="00595F21">
        <w:rPr>
          <w:rFonts w:ascii="Times New Roman" w:hAnsi="Times New Roman" w:cs="Times New Roman"/>
          <w:b/>
          <w:bCs/>
          <w:color w:val="51315A"/>
          <w:sz w:val="24"/>
          <w:szCs w:val="24"/>
        </w:rPr>
        <w:t xml:space="preserve"> 202</w:t>
      </w:r>
      <w:r>
        <w:rPr>
          <w:rFonts w:ascii="Times New Roman" w:hAnsi="Times New Roman" w:cs="Times New Roman"/>
          <w:b/>
          <w:bCs/>
          <w:color w:val="51315A"/>
          <w:sz w:val="24"/>
          <w:szCs w:val="24"/>
        </w:rPr>
        <w:t>3</w:t>
      </w:r>
      <w:r w:rsidR="00EC4758" w:rsidRPr="00595F21">
        <w:rPr>
          <w:rFonts w:ascii="Times New Roman" w:hAnsi="Times New Roman" w:cs="Times New Roman"/>
          <w:b/>
          <w:bCs/>
          <w:color w:val="51315A"/>
          <w:sz w:val="24"/>
          <w:szCs w:val="24"/>
        </w:rPr>
        <w:t xml:space="preserve"> </w:t>
      </w:r>
    </w:p>
    <w:p w14:paraId="39ED77C3" w14:textId="33409C39" w:rsidR="00552E34" w:rsidRPr="000924C1" w:rsidRDefault="00EC4758" w:rsidP="000924C1">
      <w:pPr>
        <w:spacing w:before="240" w:line="276" w:lineRule="auto"/>
        <w:jc w:val="both"/>
        <w:rPr>
          <w:rFonts w:ascii="Times New Roman" w:hAnsi="Times New Roman" w:cs="Times New Roman"/>
          <w:i/>
          <w:iCs/>
          <w:color w:val="51315A"/>
          <w:sz w:val="20"/>
          <w:szCs w:val="20"/>
        </w:rPr>
      </w:pPr>
      <w:r w:rsidRPr="006C7D31">
        <w:rPr>
          <w:rFonts w:ascii="Times New Roman" w:hAnsi="Times New Roman" w:cs="Times New Roman"/>
          <w:i/>
          <w:iCs/>
          <w:color w:val="51315A"/>
          <w:sz w:val="20"/>
          <w:szCs w:val="20"/>
        </w:rPr>
        <w:t>This article is provided free of charge for information purposes only. Every reasonable effort is made to ensure the information is accurate and up to date, but no responsibility for its accuracy, or for any consequences of relying on it, is assumed by the authors or by Chambers as a whole. The information and commentary do not, and are not intended to, amount to legal advice to any person. You are strongly advised to obtain case specific advice from a lawyer; please contact the clerking team at 4-5 Gray’s Inn Square (</w:t>
      </w:r>
      <w:hyperlink r:id="rId13" w:history="1">
        <w:r w:rsidRPr="006C7D31">
          <w:rPr>
            <w:rStyle w:val="Hyperlink"/>
            <w:rFonts w:ascii="Times New Roman" w:hAnsi="Times New Roman" w:cs="Times New Roman"/>
            <w:i/>
            <w:iCs/>
            <w:sz w:val="20"/>
            <w:szCs w:val="20"/>
          </w:rPr>
          <w:t>clerks@4-5.co.uk</w:t>
        </w:r>
      </w:hyperlink>
      <w:r w:rsidRPr="006C7D31">
        <w:rPr>
          <w:rFonts w:ascii="Times New Roman" w:hAnsi="Times New Roman" w:cs="Times New Roman"/>
          <w:i/>
          <w:iCs/>
          <w:color w:val="51315A"/>
          <w:sz w:val="20"/>
          <w:szCs w:val="20"/>
        </w:rPr>
        <w:t>) who will be glad to assist</w:t>
      </w:r>
      <w:bookmarkEnd w:id="2"/>
      <w:r w:rsidR="00D22B22" w:rsidRPr="006C7D31">
        <w:rPr>
          <w:rFonts w:ascii="Times New Roman" w:hAnsi="Times New Roman" w:cs="Times New Roman"/>
          <w:i/>
          <w:iCs/>
          <w:color w:val="51315A"/>
          <w:sz w:val="20"/>
          <w:szCs w:val="20"/>
        </w:rPr>
        <w:t xml:space="preserve">. </w:t>
      </w:r>
    </w:p>
    <w:sectPr w:rsidR="00552E34" w:rsidRPr="000924C1" w:rsidSect="00133E16">
      <w:footerReference w:type="defaul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8D14" w14:textId="77777777" w:rsidR="005D0807" w:rsidRDefault="005D0807">
      <w:pPr>
        <w:spacing w:after="0" w:line="240" w:lineRule="auto"/>
      </w:pPr>
      <w:r>
        <w:separator/>
      </w:r>
    </w:p>
  </w:endnote>
  <w:endnote w:type="continuationSeparator" w:id="0">
    <w:p w14:paraId="4261DFC7" w14:textId="77777777" w:rsidR="005D0807" w:rsidRDefault="005D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793263"/>
      <w:docPartObj>
        <w:docPartGallery w:val="Page Numbers (Bottom of Page)"/>
        <w:docPartUnique/>
      </w:docPartObj>
    </w:sdtPr>
    <w:sdtEndPr>
      <w:rPr>
        <w:rFonts w:ascii="Times New Roman" w:hAnsi="Times New Roman" w:cs="Times New Roman"/>
        <w:noProof/>
        <w:sz w:val="24"/>
        <w:szCs w:val="24"/>
      </w:rPr>
    </w:sdtEndPr>
    <w:sdtContent>
      <w:p w14:paraId="15759258" w14:textId="77777777" w:rsidR="0058422D" w:rsidRPr="00595F21" w:rsidRDefault="00EC4758" w:rsidP="00595F21">
        <w:pPr>
          <w:pStyle w:val="Footer"/>
          <w:spacing w:after="120"/>
          <w:jc w:val="center"/>
          <w:rPr>
            <w:rFonts w:ascii="Times New Roman" w:hAnsi="Times New Roman" w:cs="Times New Roman"/>
            <w:sz w:val="24"/>
            <w:szCs w:val="24"/>
          </w:rPr>
        </w:pPr>
        <w:r w:rsidRPr="00595F21">
          <w:rPr>
            <w:rFonts w:ascii="Times New Roman" w:hAnsi="Times New Roman" w:cs="Times New Roman"/>
            <w:sz w:val="24"/>
            <w:szCs w:val="24"/>
          </w:rPr>
          <w:fldChar w:fldCharType="begin"/>
        </w:r>
        <w:r w:rsidRPr="00595F21">
          <w:rPr>
            <w:rFonts w:ascii="Times New Roman" w:hAnsi="Times New Roman" w:cs="Times New Roman"/>
            <w:sz w:val="24"/>
            <w:szCs w:val="24"/>
          </w:rPr>
          <w:instrText xml:space="preserve"> PAGE   \* MERGEFORMAT </w:instrText>
        </w:r>
        <w:r w:rsidRPr="00595F21">
          <w:rPr>
            <w:rFonts w:ascii="Times New Roman" w:hAnsi="Times New Roman" w:cs="Times New Roman"/>
            <w:sz w:val="24"/>
            <w:szCs w:val="24"/>
          </w:rPr>
          <w:fldChar w:fldCharType="separate"/>
        </w:r>
        <w:r w:rsidRPr="00595F21">
          <w:rPr>
            <w:rFonts w:ascii="Times New Roman" w:hAnsi="Times New Roman" w:cs="Times New Roman"/>
            <w:noProof/>
            <w:sz w:val="24"/>
            <w:szCs w:val="24"/>
          </w:rPr>
          <w:t>2</w:t>
        </w:r>
        <w:r w:rsidRPr="00595F21">
          <w:rPr>
            <w:rFonts w:ascii="Times New Roman" w:hAnsi="Times New Roman" w:cs="Times New Roman"/>
            <w:noProof/>
            <w:sz w:val="24"/>
            <w:szCs w:val="24"/>
          </w:rPr>
          <w:fldChar w:fldCharType="end"/>
        </w:r>
      </w:p>
    </w:sdtContent>
  </w:sdt>
  <w:p w14:paraId="5A7BEC8B" w14:textId="77777777" w:rsidR="0058422D" w:rsidRPr="00595F21" w:rsidRDefault="00E5287F">
    <w:pPr>
      <w:pStyle w:val="Footer"/>
      <w:rPr>
        <w:rFonts w:ascii="Times New Roman" w:hAnsi="Times New Roman" w:cs="Times New Roman"/>
        <w:sz w:val="24"/>
        <w:szCs w:val="24"/>
      </w:rPr>
    </w:pPr>
    <w:hyperlink r:id="rId1" w:history="1">
      <w:r w:rsidR="00EC4758" w:rsidRPr="00595F21">
        <w:rPr>
          <w:rStyle w:val="Hyperlink"/>
          <w:rFonts w:ascii="Times New Roman" w:hAnsi="Times New Roman" w:cs="Times New Roman"/>
          <w:sz w:val="24"/>
          <w:szCs w:val="24"/>
        </w:rPr>
        <w:t>clerks@4-5.co.uk</w:t>
      </w:r>
    </w:hyperlink>
    <w:r w:rsidR="00EC4758" w:rsidRPr="00595F21">
      <w:rPr>
        <w:rFonts w:ascii="Times New Roman" w:hAnsi="Times New Roman" w:cs="Times New Roman"/>
        <w:sz w:val="24"/>
        <w:szCs w:val="24"/>
      </w:rPr>
      <w:tab/>
    </w:r>
    <w:hyperlink r:id="rId2" w:history="1">
      <w:r w:rsidR="00EC4758" w:rsidRPr="00595F21">
        <w:rPr>
          <w:rStyle w:val="Hyperlink"/>
          <w:rFonts w:ascii="Times New Roman" w:hAnsi="Times New Roman" w:cs="Times New Roman"/>
          <w:sz w:val="24"/>
          <w:szCs w:val="24"/>
        </w:rPr>
        <w:t>www.4-5.co.uk</w:t>
      </w:r>
    </w:hyperlink>
    <w:r w:rsidR="00EC4758" w:rsidRPr="00595F21">
      <w:rPr>
        <w:rFonts w:ascii="Times New Roman" w:hAnsi="Times New Roman" w:cs="Times New Roman"/>
        <w:sz w:val="24"/>
        <w:szCs w:val="24"/>
      </w:rPr>
      <w:tab/>
    </w:r>
    <w:r w:rsidR="00EC4758" w:rsidRPr="000C1AC2">
      <w:rPr>
        <w:rFonts w:ascii="Times New Roman" w:hAnsi="Times New Roman" w:cs="Times New Roman"/>
        <w:noProof/>
        <w:color w:val="51315A"/>
        <w:sz w:val="24"/>
        <w:szCs w:val="24"/>
      </w:rPr>
      <w:t>(0)20 7404 5252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6215" w14:textId="77777777" w:rsidR="005D0807" w:rsidRDefault="005D0807">
      <w:pPr>
        <w:spacing w:after="0" w:line="240" w:lineRule="auto"/>
      </w:pPr>
      <w:r>
        <w:separator/>
      </w:r>
    </w:p>
  </w:footnote>
  <w:footnote w:type="continuationSeparator" w:id="0">
    <w:p w14:paraId="72D0655E" w14:textId="77777777" w:rsidR="005D0807" w:rsidRDefault="005D0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0861"/>
    <w:multiLevelType w:val="hybridMultilevel"/>
    <w:tmpl w:val="477C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F3EAB"/>
    <w:multiLevelType w:val="hybridMultilevel"/>
    <w:tmpl w:val="EBEEB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A2C31"/>
    <w:multiLevelType w:val="hybridMultilevel"/>
    <w:tmpl w:val="8B6C36D6"/>
    <w:lvl w:ilvl="0" w:tplc="D3DC5E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032DC"/>
    <w:multiLevelType w:val="hybridMultilevel"/>
    <w:tmpl w:val="0A9E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37DB8"/>
    <w:multiLevelType w:val="hybridMultilevel"/>
    <w:tmpl w:val="C45465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8D1FA0"/>
    <w:multiLevelType w:val="hybridMultilevel"/>
    <w:tmpl w:val="F1F85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CA2D93"/>
    <w:multiLevelType w:val="hybridMultilevel"/>
    <w:tmpl w:val="B186167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72265339">
    <w:abstractNumId w:val="2"/>
  </w:num>
  <w:num w:numId="2" w16cid:durableId="599725351">
    <w:abstractNumId w:val="6"/>
  </w:num>
  <w:num w:numId="3" w16cid:durableId="398556070">
    <w:abstractNumId w:val="5"/>
  </w:num>
  <w:num w:numId="4" w16cid:durableId="2020619381">
    <w:abstractNumId w:val="3"/>
  </w:num>
  <w:num w:numId="5" w16cid:durableId="139156526">
    <w:abstractNumId w:val="0"/>
  </w:num>
  <w:num w:numId="6" w16cid:durableId="1220509482">
    <w:abstractNumId w:val="4"/>
  </w:num>
  <w:num w:numId="7" w16cid:durableId="1209029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58"/>
    <w:rsid w:val="00003E44"/>
    <w:rsid w:val="00004308"/>
    <w:rsid w:val="00006BB7"/>
    <w:rsid w:val="00006BDA"/>
    <w:rsid w:val="00007EE8"/>
    <w:rsid w:val="00013DF0"/>
    <w:rsid w:val="00014C74"/>
    <w:rsid w:val="000207BE"/>
    <w:rsid w:val="00024908"/>
    <w:rsid w:val="00026F26"/>
    <w:rsid w:val="0003020B"/>
    <w:rsid w:val="00032C06"/>
    <w:rsid w:val="0003309D"/>
    <w:rsid w:val="0003380B"/>
    <w:rsid w:val="000339C8"/>
    <w:rsid w:val="00035589"/>
    <w:rsid w:val="00037E56"/>
    <w:rsid w:val="00043721"/>
    <w:rsid w:val="0004638E"/>
    <w:rsid w:val="00047718"/>
    <w:rsid w:val="000509F2"/>
    <w:rsid w:val="00051639"/>
    <w:rsid w:val="00051A05"/>
    <w:rsid w:val="0005526A"/>
    <w:rsid w:val="00056B17"/>
    <w:rsid w:val="0005724B"/>
    <w:rsid w:val="00060EC4"/>
    <w:rsid w:val="0006136B"/>
    <w:rsid w:val="00062570"/>
    <w:rsid w:val="00064578"/>
    <w:rsid w:val="0006474E"/>
    <w:rsid w:val="00065FB8"/>
    <w:rsid w:val="00070323"/>
    <w:rsid w:val="000703F0"/>
    <w:rsid w:val="00070C3B"/>
    <w:rsid w:val="00071603"/>
    <w:rsid w:val="00071FDB"/>
    <w:rsid w:val="00075D36"/>
    <w:rsid w:val="00077928"/>
    <w:rsid w:val="000801A8"/>
    <w:rsid w:val="00081281"/>
    <w:rsid w:val="000838B5"/>
    <w:rsid w:val="00084460"/>
    <w:rsid w:val="00084695"/>
    <w:rsid w:val="00084AEC"/>
    <w:rsid w:val="000903F2"/>
    <w:rsid w:val="00090410"/>
    <w:rsid w:val="000924C1"/>
    <w:rsid w:val="00093F62"/>
    <w:rsid w:val="00094E48"/>
    <w:rsid w:val="00094ED4"/>
    <w:rsid w:val="00094EE7"/>
    <w:rsid w:val="00096EEC"/>
    <w:rsid w:val="000972AB"/>
    <w:rsid w:val="000A2D15"/>
    <w:rsid w:val="000B0649"/>
    <w:rsid w:val="000B0F84"/>
    <w:rsid w:val="000C57C5"/>
    <w:rsid w:val="000C5C9E"/>
    <w:rsid w:val="000D2149"/>
    <w:rsid w:val="000D308E"/>
    <w:rsid w:val="000D4F13"/>
    <w:rsid w:val="000D622E"/>
    <w:rsid w:val="000D6671"/>
    <w:rsid w:val="000D75D5"/>
    <w:rsid w:val="000E35E9"/>
    <w:rsid w:val="000E3ADF"/>
    <w:rsid w:val="000E40F6"/>
    <w:rsid w:val="000E5C44"/>
    <w:rsid w:val="000E719A"/>
    <w:rsid w:val="000F0110"/>
    <w:rsid w:val="000F1831"/>
    <w:rsid w:val="000F2E9A"/>
    <w:rsid w:val="000F78DA"/>
    <w:rsid w:val="000F7DD9"/>
    <w:rsid w:val="001008A6"/>
    <w:rsid w:val="00102E6C"/>
    <w:rsid w:val="00103E15"/>
    <w:rsid w:val="0010446B"/>
    <w:rsid w:val="00105447"/>
    <w:rsid w:val="00106BF5"/>
    <w:rsid w:val="00106FF5"/>
    <w:rsid w:val="0011314F"/>
    <w:rsid w:val="001139F9"/>
    <w:rsid w:val="00116645"/>
    <w:rsid w:val="001211B3"/>
    <w:rsid w:val="00130255"/>
    <w:rsid w:val="0013048B"/>
    <w:rsid w:val="00130620"/>
    <w:rsid w:val="001309C7"/>
    <w:rsid w:val="00133E16"/>
    <w:rsid w:val="00135702"/>
    <w:rsid w:val="001374D8"/>
    <w:rsid w:val="00137998"/>
    <w:rsid w:val="00140160"/>
    <w:rsid w:val="00140863"/>
    <w:rsid w:val="00141BB3"/>
    <w:rsid w:val="00150C27"/>
    <w:rsid w:val="001523AF"/>
    <w:rsid w:val="001535AB"/>
    <w:rsid w:val="00153E16"/>
    <w:rsid w:val="00155678"/>
    <w:rsid w:val="00162847"/>
    <w:rsid w:val="0016297C"/>
    <w:rsid w:val="001637E4"/>
    <w:rsid w:val="00164177"/>
    <w:rsid w:val="00166319"/>
    <w:rsid w:val="00167B3A"/>
    <w:rsid w:val="00167CF9"/>
    <w:rsid w:val="0017121C"/>
    <w:rsid w:val="001716F5"/>
    <w:rsid w:val="00175E3D"/>
    <w:rsid w:val="00181D12"/>
    <w:rsid w:val="00182C61"/>
    <w:rsid w:val="00184BD2"/>
    <w:rsid w:val="001851E2"/>
    <w:rsid w:val="001875D9"/>
    <w:rsid w:val="001934EC"/>
    <w:rsid w:val="00193FF7"/>
    <w:rsid w:val="0019426F"/>
    <w:rsid w:val="001964CC"/>
    <w:rsid w:val="001A3106"/>
    <w:rsid w:val="001A4C1A"/>
    <w:rsid w:val="001A5DC4"/>
    <w:rsid w:val="001A736D"/>
    <w:rsid w:val="001A753D"/>
    <w:rsid w:val="001B0E70"/>
    <w:rsid w:val="001B1541"/>
    <w:rsid w:val="001B2010"/>
    <w:rsid w:val="001B31F8"/>
    <w:rsid w:val="001B3620"/>
    <w:rsid w:val="001B42EE"/>
    <w:rsid w:val="001C05B1"/>
    <w:rsid w:val="001C0953"/>
    <w:rsid w:val="001D3636"/>
    <w:rsid w:val="001D47A7"/>
    <w:rsid w:val="001D62CB"/>
    <w:rsid w:val="001E03FB"/>
    <w:rsid w:val="001E19A0"/>
    <w:rsid w:val="001E49E4"/>
    <w:rsid w:val="001F0405"/>
    <w:rsid w:val="001F10EA"/>
    <w:rsid w:val="001F34C0"/>
    <w:rsid w:val="001F507D"/>
    <w:rsid w:val="001F6990"/>
    <w:rsid w:val="00200A7B"/>
    <w:rsid w:val="002013BB"/>
    <w:rsid w:val="002028FD"/>
    <w:rsid w:val="002037D6"/>
    <w:rsid w:val="00205468"/>
    <w:rsid w:val="002055A2"/>
    <w:rsid w:val="0020576D"/>
    <w:rsid w:val="00206521"/>
    <w:rsid w:val="002150AB"/>
    <w:rsid w:val="0021744F"/>
    <w:rsid w:val="0021795B"/>
    <w:rsid w:val="00227A8C"/>
    <w:rsid w:val="00231E7D"/>
    <w:rsid w:val="00233BD8"/>
    <w:rsid w:val="00233F0C"/>
    <w:rsid w:val="002348AC"/>
    <w:rsid w:val="00235F7C"/>
    <w:rsid w:val="00236331"/>
    <w:rsid w:val="00236A48"/>
    <w:rsid w:val="0023714F"/>
    <w:rsid w:val="00237D12"/>
    <w:rsid w:val="00237FD2"/>
    <w:rsid w:val="00242084"/>
    <w:rsid w:val="00245ADD"/>
    <w:rsid w:val="00250273"/>
    <w:rsid w:val="0025197B"/>
    <w:rsid w:val="00263C1A"/>
    <w:rsid w:val="00274D2A"/>
    <w:rsid w:val="0028033A"/>
    <w:rsid w:val="00284F4A"/>
    <w:rsid w:val="00286B60"/>
    <w:rsid w:val="002944C1"/>
    <w:rsid w:val="0029610F"/>
    <w:rsid w:val="00296188"/>
    <w:rsid w:val="002968C7"/>
    <w:rsid w:val="002A0A43"/>
    <w:rsid w:val="002A29EC"/>
    <w:rsid w:val="002A5252"/>
    <w:rsid w:val="002A53F3"/>
    <w:rsid w:val="002A56D3"/>
    <w:rsid w:val="002A7436"/>
    <w:rsid w:val="002B2901"/>
    <w:rsid w:val="002B3DB3"/>
    <w:rsid w:val="002B4F38"/>
    <w:rsid w:val="002B5DD6"/>
    <w:rsid w:val="002B6E56"/>
    <w:rsid w:val="002B7EAE"/>
    <w:rsid w:val="002C0DA6"/>
    <w:rsid w:val="002C17EE"/>
    <w:rsid w:val="002C4113"/>
    <w:rsid w:val="002C4FF6"/>
    <w:rsid w:val="002C5405"/>
    <w:rsid w:val="002C5B5D"/>
    <w:rsid w:val="002C62AA"/>
    <w:rsid w:val="002D0129"/>
    <w:rsid w:val="002D2D18"/>
    <w:rsid w:val="002D46C7"/>
    <w:rsid w:val="002D5889"/>
    <w:rsid w:val="002E0E06"/>
    <w:rsid w:val="002E22DB"/>
    <w:rsid w:val="002E2DCB"/>
    <w:rsid w:val="002E6D3E"/>
    <w:rsid w:val="002F0130"/>
    <w:rsid w:val="002F0372"/>
    <w:rsid w:val="00301DB4"/>
    <w:rsid w:val="003029B9"/>
    <w:rsid w:val="00302A3A"/>
    <w:rsid w:val="00304E06"/>
    <w:rsid w:val="00305141"/>
    <w:rsid w:val="0030691C"/>
    <w:rsid w:val="00311516"/>
    <w:rsid w:val="00312891"/>
    <w:rsid w:val="00314C07"/>
    <w:rsid w:val="00320A4B"/>
    <w:rsid w:val="00320C8A"/>
    <w:rsid w:val="00321384"/>
    <w:rsid w:val="0032150A"/>
    <w:rsid w:val="00321DD1"/>
    <w:rsid w:val="00325166"/>
    <w:rsid w:val="00325848"/>
    <w:rsid w:val="003279C7"/>
    <w:rsid w:val="00335F6E"/>
    <w:rsid w:val="00336509"/>
    <w:rsid w:val="00336F8A"/>
    <w:rsid w:val="00343D1B"/>
    <w:rsid w:val="003469A4"/>
    <w:rsid w:val="00352A90"/>
    <w:rsid w:val="0035507A"/>
    <w:rsid w:val="00355285"/>
    <w:rsid w:val="0036064B"/>
    <w:rsid w:val="0036449B"/>
    <w:rsid w:val="00364BCE"/>
    <w:rsid w:val="00364F21"/>
    <w:rsid w:val="003656CA"/>
    <w:rsid w:val="00366156"/>
    <w:rsid w:val="00373401"/>
    <w:rsid w:val="00373AD0"/>
    <w:rsid w:val="0037447F"/>
    <w:rsid w:val="003747F7"/>
    <w:rsid w:val="00376CE6"/>
    <w:rsid w:val="0037757F"/>
    <w:rsid w:val="00377C63"/>
    <w:rsid w:val="003814B3"/>
    <w:rsid w:val="00383F99"/>
    <w:rsid w:val="003874FF"/>
    <w:rsid w:val="00391D11"/>
    <w:rsid w:val="00392705"/>
    <w:rsid w:val="00393ACA"/>
    <w:rsid w:val="00394933"/>
    <w:rsid w:val="003A0BC2"/>
    <w:rsid w:val="003A3BB8"/>
    <w:rsid w:val="003A5699"/>
    <w:rsid w:val="003A5999"/>
    <w:rsid w:val="003A7267"/>
    <w:rsid w:val="003B076F"/>
    <w:rsid w:val="003B182A"/>
    <w:rsid w:val="003B74C9"/>
    <w:rsid w:val="003C2BBC"/>
    <w:rsid w:val="003C63C2"/>
    <w:rsid w:val="003C71C6"/>
    <w:rsid w:val="003D076B"/>
    <w:rsid w:val="003D11A0"/>
    <w:rsid w:val="003D12E7"/>
    <w:rsid w:val="003D1458"/>
    <w:rsid w:val="003D3899"/>
    <w:rsid w:val="003D58EE"/>
    <w:rsid w:val="003E135B"/>
    <w:rsid w:val="003E201E"/>
    <w:rsid w:val="003E2D3D"/>
    <w:rsid w:val="003E2D9D"/>
    <w:rsid w:val="003E3F20"/>
    <w:rsid w:val="003E6D06"/>
    <w:rsid w:val="003F56F6"/>
    <w:rsid w:val="003F68CF"/>
    <w:rsid w:val="003F6A25"/>
    <w:rsid w:val="003F6DCF"/>
    <w:rsid w:val="00400636"/>
    <w:rsid w:val="00403D07"/>
    <w:rsid w:val="004075CD"/>
    <w:rsid w:val="004148B3"/>
    <w:rsid w:val="0041603F"/>
    <w:rsid w:val="0042087D"/>
    <w:rsid w:val="00420B04"/>
    <w:rsid w:val="00422536"/>
    <w:rsid w:val="00430539"/>
    <w:rsid w:val="00430998"/>
    <w:rsid w:val="00431F61"/>
    <w:rsid w:val="004375A6"/>
    <w:rsid w:val="004402FD"/>
    <w:rsid w:val="0044126B"/>
    <w:rsid w:val="00444EC6"/>
    <w:rsid w:val="00445F64"/>
    <w:rsid w:val="00446BB0"/>
    <w:rsid w:val="0045005F"/>
    <w:rsid w:val="00452E2A"/>
    <w:rsid w:val="004621A4"/>
    <w:rsid w:val="0046243B"/>
    <w:rsid w:val="00463FF8"/>
    <w:rsid w:val="0047117F"/>
    <w:rsid w:val="00477A42"/>
    <w:rsid w:val="00482971"/>
    <w:rsid w:val="00483541"/>
    <w:rsid w:val="00485F7C"/>
    <w:rsid w:val="00486267"/>
    <w:rsid w:val="0048702C"/>
    <w:rsid w:val="00487255"/>
    <w:rsid w:val="00494A88"/>
    <w:rsid w:val="004A0F8C"/>
    <w:rsid w:val="004A1CFD"/>
    <w:rsid w:val="004A4760"/>
    <w:rsid w:val="004B2634"/>
    <w:rsid w:val="004C03E6"/>
    <w:rsid w:val="004C1354"/>
    <w:rsid w:val="004C3A49"/>
    <w:rsid w:val="004C3D18"/>
    <w:rsid w:val="004C41AD"/>
    <w:rsid w:val="004C514F"/>
    <w:rsid w:val="004C5A66"/>
    <w:rsid w:val="004C5DA0"/>
    <w:rsid w:val="004D0BEF"/>
    <w:rsid w:val="004D1117"/>
    <w:rsid w:val="004D49C0"/>
    <w:rsid w:val="004D5439"/>
    <w:rsid w:val="004D786E"/>
    <w:rsid w:val="004E05B4"/>
    <w:rsid w:val="004E0987"/>
    <w:rsid w:val="004E09A0"/>
    <w:rsid w:val="004E2433"/>
    <w:rsid w:val="004E3669"/>
    <w:rsid w:val="004E4C3C"/>
    <w:rsid w:val="004F4B3E"/>
    <w:rsid w:val="004F5CD4"/>
    <w:rsid w:val="00500CD2"/>
    <w:rsid w:val="00500FA9"/>
    <w:rsid w:val="00501B2F"/>
    <w:rsid w:val="005078CB"/>
    <w:rsid w:val="00507EC0"/>
    <w:rsid w:val="00511044"/>
    <w:rsid w:val="0051104F"/>
    <w:rsid w:val="00511B11"/>
    <w:rsid w:val="00511F7E"/>
    <w:rsid w:val="00520952"/>
    <w:rsid w:val="0052413B"/>
    <w:rsid w:val="00524C54"/>
    <w:rsid w:val="00524E87"/>
    <w:rsid w:val="005266D0"/>
    <w:rsid w:val="00526B42"/>
    <w:rsid w:val="005302C4"/>
    <w:rsid w:val="00530733"/>
    <w:rsid w:val="00530C1C"/>
    <w:rsid w:val="005317DD"/>
    <w:rsid w:val="0053182F"/>
    <w:rsid w:val="00531F70"/>
    <w:rsid w:val="0053345F"/>
    <w:rsid w:val="00535264"/>
    <w:rsid w:val="00535F65"/>
    <w:rsid w:val="00540150"/>
    <w:rsid w:val="0054158A"/>
    <w:rsid w:val="0054629E"/>
    <w:rsid w:val="00546463"/>
    <w:rsid w:val="005465B9"/>
    <w:rsid w:val="00546F0E"/>
    <w:rsid w:val="005475D5"/>
    <w:rsid w:val="00547A79"/>
    <w:rsid w:val="005521D2"/>
    <w:rsid w:val="00552D27"/>
    <w:rsid w:val="00552E34"/>
    <w:rsid w:val="00553C93"/>
    <w:rsid w:val="00554AF2"/>
    <w:rsid w:val="0056340C"/>
    <w:rsid w:val="00564A10"/>
    <w:rsid w:val="005666C2"/>
    <w:rsid w:val="005667CF"/>
    <w:rsid w:val="00567FBA"/>
    <w:rsid w:val="00572EAD"/>
    <w:rsid w:val="005741D8"/>
    <w:rsid w:val="00574F56"/>
    <w:rsid w:val="005824B0"/>
    <w:rsid w:val="00582B3A"/>
    <w:rsid w:val="00583534"/>
    <w:rsid w:val="005846AE"/>
    <w:rsid w:val="005851E4"/>
    <w:rsid w:val="0058522B"/>
    <w:rsid w:val="00585303"/>
    <w:rsid w:val="005853CE"/>
    <w:rsid w:val="00587ECD"/>
    <w:rsid w:val="00595B70"/>
    <w:rsid w:val="00596411"/>
    <w:rsid w:val="005A26A5"/>
    <w:rsid w:val="005A4901"/>
    <w:rsid w:val="005B1DDC"/>
    <w:rsid w:val="005B275F"/>
    <w:rsid w:val="005B615F"/>
    <w:rsid w:val="005B6E9E"/>
    <w:rsid w:val="005C0537"/>
    <w:rsid w:val="005C1828"/>
    <w:rsid w:val="005C260B"/>
    <w:rsid w:val="005C2F3E"/>
    <w:rsid w:val="005C3DE7"/>
    <w:rsid w:val="005C3E09"/>
    <w:rsid w:val="005C7AEF"/>
    <w:rsid w:val="005D0807"/>
    <w:rsid w:val="005D0B7E"/>
    <w:rsid w:val="005D3F88"/>
    <w:rsid w:val="005D4394"/>
    <w:rsid w:val="005E25B6"/>
    <w:rsid w:val="005E4A00"/>
    <w:rsid w:val="005E4E10"/>
    <w:rsid w:val="005F0DEF"/>
    <w:rsid w:val="005F10BB"/>
    <w:rsid w:val="005F165C"/>
    <w:rsid w:val="005F3D43"/>
    <w:rsid w:val="005F6D23"/>
    <w:rsid w:val="005F6E96"/>
    <w:rsid w:val="00603296"/>
    <w:rsid w:val="00605CF5"/>
    <w:rsid w:val="0060669D"/>
    <w:rsid w:val="00612D2A"/>
    <w:rsid w:val="0061382C"/>
    <w:rsid w:val="00613ABD"/>
    <w:rsid w:val="0061507A"/>
    <w:rsid w:val="00615568"/>
    <w:rsid w:val="0061561B"/>
    <w:rsid w:val="006214C7"/>
    <w:rsid w:val="0062408D"/>
    <w:rsid w:val="00625F2A"/>
    <w:rsid w:val="0063559C"/>
    <w:rsid w:val="00636804"/>
    <w:rsid w:val="00640CF6"/>
    <w:rsid w:val="00641522"/>
    <w:rsid w:val="006418B7"/>
    <w:rsid w:val="0064304D"/>
    <w:rsid w:val="00643625"/>
    <w:rsid w:val="0064371A"/>
    <w:rsid w:val="00643BCC"/>
    <w:rsid w:val="00644246"/>
    <w:rsid w:val="0064435F"/>
    <w:rsid w:val="006458D3"/>
    <w:rsid w:val="0064641D"/>
    <w:rsid w:val="006529C7"/>
    <w:rsid w:val="00654C41"/>
    <w:rsid w:val="006554C5"/>
    <w:rsid w:val="006573A2"/>
    <w:rsid w:val="00657989"/>
    <w:rsid w:val="006624B3"/>
    <w:rsid w:val="00666413"/>
    <w:rsid w:val="006673FE"/>
    <w:rsid w:val="006674C6"/>
    <w:rsid w:val="00672642"/>
    <w:rsid w:val="00672679"/>
    <w:rsid w:val="006756F5"/>
    <w:rsid w:val="006869F2"/>
    <w:rsid w:val="00687D65"/>
    <w:rsid w:val="00690F19"/>
    <w:rsid w:val="00695ADC"/>
    <w:rsid w:val="00695F8D"/>
    <w:rsid w:val="0069751F"/>
    <w:rsid w:val="00697838"/>
    <w:rsid w:val="006A0E95"/>
    <w:rsid w:val="006A2CDA"/>
    <w:rsid w:val="006B0F46"/>
    <w:rsid w:val="006B47E0"/>
    <w:rsid w:val="006B5637"/>
    <w:rsid w:val="006C0B21"/>
    <w:rsid w:val="006C5D82"/>
    <w:rsid w:val="006C7D31"/>
    <w:rsid w:val="006D0B94"/>
    <w:rsid w:val="006D1E49"/>
    <w:rsid w:val="006D5D45"/>
    <w:rsid w:val="006D60B1"/>
    <w:rsid w:val="006E3F96"/>
    <w:rsid w:val="006E6B3C"/>
    <w:rsid w:val="006E7D2B"/>
    <w:rsid w:val="006F3B6E"/>
    <w:rsid w:val="00700019"/>
    <w:rsid w:val="007043E7"/>
    <w:rsid w:val="00704CD0"/>
    <w:rsid w:val="007056A3"/>
    <w:rsid w:val="00707482"/>
    <w:rsid w:val="007116FF"/>
    <w:rsid w:val="007138D5"/>
    <w:rsid w:val="007150DF"/>
    <w:rsid w:val="00715B53"/>
    <w:rsid w:val="00716822"/>
    <w:rsid w:val="00716C6C"/>
    <w:rsid w:val="00716F90"/>
    <w:rsid w:val="00717851"/>
    <w:rsid w:val="007307CE"/>
    <w:rsid w:val="007343D6"/>
    <w:rsid w:val="007352F5"/>
    <w:rsid w:val="00735C84"/>
    <w:rsid w:val="007368FC"/>
    <w:rsid w:val="00740E17"/>
    <w:rsid w:val="00741778"/>
    <w:rsid w:val="00742310"/>
    <w:rsid w:val="00742644"/>
    <w:rsid w:val="00742B28"/>
    <w:rsid w:val="00744A87"/>
    <w:rsid w:val="00745785"/>
    <w:rsid w:val="0074777D"/>
    <w:rsid w:val="007506D9"/>
    <w:rsid w:val="00753B67"/>
    <w:rsid w:val="00756E1E"/>
    <w:rsid w:val="00757A92"/>
    <w:rsid w:val="00771F6B"/>
    <w:rsid w:val="00782DE2"/>
    <w:rsid w:val="007832F4"/>
    <w:rsid w:val="0078501E"/>
    <w:rsid w:val="00786CFC"/>
    <w:rsid w:val="00787F24"/>
    <w:rsid w:val="00792F02"/>
    <w:rsid w:val="00793DDE"/>
    <w:rsid w:val="00795DD2"/>
    <w:rsid w:val="007965F9"/>
    <w:rsid w:val="007967F5"/>
    <w:rsid w:val="00796CC9"/>
    <w:rsid w:val="007A066C"/>
    <w:rsid w:val="007A0F30"/>
    <w:rsid w:val="007A1C2A"/>
    <w:rsid w:val="007A3E4A"/>
    <w:rsid w:val="007A4D7B"/>
    <w:rsid w:val="007A5614"/>
    <w:rsid w:val="007A6CCC"/>
    <w:rsid w:val="007B286A"/>
    <w:rsid w:val="007B316C"/>
    <w:rsid w:val="007C453A"/>
    <w:rsid w:val="007C4DD4"/>
    <w:rsid w:val="007D07F5"/>
    <w:rsid w:val="007D0884"/>
    <w:rsid w:val="007D0D80"/>
    <w:rsid w:val="007D2782"/>
    <w:rsid w:val="007E1A09"/>
    <w:rsid w:val="007E1B79"/>
    <w:rsid w:val="007E54FB"/>
    <w:rsid w:val="007E60C8"/>
    <w:rsid w:val="007F21DD"/>
    <w:rsid w:val="007F292F"/>
    <w:rsid w:val="007F7480"/>
    <w:rsid w:val="00800E87"/>
    <w:rsid w:val="008078B3"/>
    <w:rsid w:val="00811347"/>
    <w:rsid w:val="008136A2"/>
    <w:rsid w:val="0082001D"/>
    <w:rsid w:val="00821D93"/>
    <w:rsid w:val="0083028E"/>
    <w:rsid w:val="00830C8A"/>
    <w:rsid w:val="00832647"/>
    <w:rsid w:val="00833C15"/>
    <w:rsid w:val="00835A1D"/>
    <w:rsid w:val="00835EA1"/>
    <w:rsid w:val="00837278"/>
    <w:rsid w:val="00837AB5"/>
    <w:rsid w:val="008414BD"/>
    <w:rsid w:val="00843E13"/>
    <w:rsid w:val="008449EA"/>
    <w:rsid w:val="00845514"/>
    <w:rsid w:val="00846400"/>
    <w:rsid w:val="00852312"/>
    <w:rsid w:val="008566E1"/>
    <w:rsid w:val="00862B47"/>
    <w:rsid w:val="0086358F"/>
    <w:rsid w:val="00864A68"/>
    <w:rsid w:val="00865F16"/>
    <w:rsid w:val="008665B6"/>
    <w:rsid w:val="00874FB5"/>
    <w:rsid w:val="00877130"/>
    <w:rsid w:val="00877A00"/>
    <w:rsid w:val="00882B59"/>
    <w:rsid w:val="00882D32"/>
    <w:rsid w:val="00883767"/>
    <w:rsid w:val="00883E1F"/>
    <w:rsid w:val="00885810"/>
    <w:rsid w:val="00887499"/>
    <w:rsid w:val="0089187A"/>
    <w:rsid w:val="00892635"/>
    <w:rsid w:val="00892C18"/>
    <w:rsid w:val="008A0600"/>
    <w:rsid w:val="008A0A55"/>
    <w:rsid w:val="008A47D5"/>
    <w:rsid w:val="008B2AB0"/>
    <w:rsid w:val="008B40B6"/>
    <w:rsid w:val="008B4E1B"/>
    <w:rsid w:val="008C32AB"/>
    <w:rsid w:val="008C4940"/>
    <w:rsid w:val="008C5606"/>
    <w:rsid w:val="008C6FA0"/>
    <w:rsid w:val="008D06AA"/>
    <w:rsid w:val="008D1E98"/>
    <w:rsid w:val="008D2F33"/>
    <w:rsid w:val="008D3EDF"/>
    <w:rsid w:val="008D40C8"/>
    <w:rsid w:val="008D6E6C"/>
    <w:rsid w:val="008D7841"/>
    <w:rsid w:val="008E28C5"/>
    <w:rsid w:val="008E5107"/>
    <w:rsid w:val="008E56B6"/>
    <w:rsid w:val="008F104A"/>
    <w:rsid w:val="008F36CF"/>
    <w:rsid w:val="008F7155"/>
    <w:rsid w:val="008F7293"/>
    <w:rsid w:val="00900316"/>
    <w:rsid w:val="00901CE0"/>
    <w:rsid w:val="00903D45"/>
    <w:rsid w:val="00905227"/>
    <w:rsid w:val="00905A62"/>
    <w:rsid w:val="00906C53"/>
    <w:rsid w:val="00910145"/>
    <w:rsid w:val="00910192"/>
    <w:rsid w:val="00913299"/>
    <w:rsid w:val="00913A81"/>
    <w:rsid w:val="00916723"/>
    <w:rsid w:val="009169D4"/>
    <w:rsid w:val="00926604"/>
    <w:rsid w:val="00931D29"/>
    <w:rsid w:val="00934F05"/>
    <w:rsid w:val="0094021B"/>
    <w:rsid w:val="00941C5B"/>
    <w:rsid w:val="00941CEB"/>
    <w:rsid w:val="00946C75"/>
    <w:rsid w:val="00946FC4"/>
    <w:rsid w:val="00951139"/>
    <w:rsid w:val="00962204"/>
    <w:rsid w:val="00965422"/>
    <w:rsid w:val="00965593"/>
    <w:rsid w:val="00965A95"/>
    <w:rsid w:val="00971D6F"/>
    <w:rsid w:val="00971D80"/>
    <w:rsid w:val="00972E50"/>
    <w:rsid w:val="00974A0B"/>
    <w:rsid w:val="00975A8B"/>
    <w:rsid w:val="00981DEF"/>
    <w:rsid w:val="0098518A"/>
    <w:rsid w:val="00985EA9"/>
    <w:rsid w:val="009865CC"/>
    <w:rsid w:val="0098775A"/>
    <w:rsid w:val="009937F5"/>
    <w:rsid w:val="009946B8"/>
    <w:rsid w:val="009953E4"/>
    <w:rsid w:val="0099735C"/>
    <w:rsid w:val="00997BF0"/>
    <w:rsid w:val="009A229C"/>
    <w:rsid w:val="009A356B"/>
    <w:rsid w:val="009A5788"/>
    <w:rsid w:val="009A6939"/>
    <w:rsid w:val="009A6BFF"/>
    <w:rsid w:val="009A763B"/>
    <w:rsid w:val="009B13A3"/>
    <w:rsid w:val="009B2EFB"/>
    <w:rsid w:val="009B3BAD"/>
    <w:rsid w:val="009B6C8F"/>
    <w:rsid w:val="009C0516"/>
    <w:rsid w:val="009C0D4C"/>
    <w:rsid w:val="009C1AD7"/>
    <w:rsid w:val="009C52F2"/>
    <w:rsid w:val="009D0B6C"/>
    <w:rsid w:val="009D183E"/>
    <w:rsid w:val="009D2070"/>
    <w:rsid w:val="009D552D"/>
    <w:rsid w:val="009D6A7C"/>
    <w:rsid w:val="009E23E0"/>
    <w:rsid w:val="009E3953"/>
    <w:rsid w:val="009E56BA"/>
    <w:rsid w:val="009E796B"/>
    <w:rsid w:val="009E7DB2"/>
    <w:rsid w:val="009F32E6"/>
    <w:rsid w:val="009F49E5"/>
    <w:rsid w:val="009F5B44"/>
    <w:rsid w:val="009F66B9"/>
    <w:rsid w:val="009F6908"/>
    <w:rsid w:val="00A000E1"/>
    <w:rsid w:val="00A002F8"/>
    <w:rsid w:val="00A02BE5"/>
    <w:rsid w:val="00A04772"/>
    <w:rsid w:val="00A0772D"/>
    <w:rsid w:val="00A1026F"/>
    <w:rsid w:val="00A11859"/>
    <w:rsid w:val="00A1270B"/>
    <w:rsid w:val="00A15EDA"/>
    <w:rsid w:val="00A1658E"/>
    <w:rsid w:val="00A2127F"/>
    <w:rsid w:val="00A21562"/>
    <w:rsid w:val="00A239C4"/>
    <w:rsid w:val="00A23E51"/>
    <w:rsid w:val="00A2654A"/>
    <w:rsid w:val="00A3185A"/>
    <w:rsid w:val="00A421B3"/>
    <w:rsid w:val="00A42907"/>
    <w:rsid w:val="00A47B2D"/>
    <w:rsid w:val="00A52D4D"/>
    <w:rsid w:val="00A54C61"/>
    <w:rsid w:val="00A552D9"/>
    <w:rsid w:val="00A56B96"/>
    <w:rsid w:val="00A56D58"/>
    <w:rsid w:val="00A60672"/>
    <w:rsid w:val="00A6095D"/>
    <w:rsid w:val="00A611F5"/>
    <w:rsid w:val="00A636A7"/>
    <w:rsid w:val="00A63D3D"/>
    <w:rsid w:val="00A65CFE"/>
    <w:rsid w:val="00A66502"/>
    <w:rsid w:val="00A665E9"/>
    <w:rsid w:val="00A66BE4"/>
    <w:rsid w:val="00A676CA"/>
    <w:rsid w:val="00A6771C"/>
    <w:rsid w:val="00A71370"/>
    <w:rsid w:val="00A72D05"/>
    <w:rsid w:val="00A73A35"/>
    <w:rsid w:val="00A75877"/>
    <w:rsid w:val="00A80B02"/>
    <w:rsid w:val="00A818EA"/>
    <w:rsid w:val="00A8290B"/>
    <w:rsid w:val="00A83DF1"/>
    <w:rsid w:val="00A868E4"/>
    <w:rsid w:val="00A90176"/>
    <w:rsid w:val="00A90AA6"/>
    <w:rsid w:val="00A90B8C"/>
    <w:rsid w:val="00A90C00"/>
    <w:rsid w:val="00A92400"/>
    <w:rsid w:val="00A93848"/>
    <w:rsid w:val="00A961F6"/>
    <w:rsid w:val="00AA0B21"/>
    <w:rsid w:val="00AA1CCA"/>
    <w:rsid w:val="00AA2789"/>
    <w:rsid w:val="00AB17D3"/>
    <w:rsid w:val="00AB3347"/>
    <w:rsid w:val="00AB4262"/>
    <w:rsid w:val="00AB6704"/>
    <w:rsid w:val="00AB6D39"/>
    <w:rsid w:val="00AC0A35"/>
    <w:rsid w:val="00AC0F04"/>
    <w:rsid w:val="00AC1420"/>
    <w:rsid w:val="00AC228B"/>
    <w:rsid w:val="00AC445F"/>
    <w:rsid w:val="00AD0E04"/>
    <w:rsid w:val="00AD1F21"/>
    <w:rsid w:val="00AD2A68"/>
    <w:rsid w:val="00AD3091"/>
    <w:rsid w:val="00AD3A4F"/>
    <w:rsid w:val="00AD49CC"/>
    <w:rsid w:val="00AD65F3"/>
    <w:rsid w:val="00AE23E1"/>
    <w:rsid w:val="00AE518C"/>
    <w:rsid w:val="00AF2395"/>
    <w:rsid w:val="00AF2A30"/>
    <w:rsid w:val="00AF436E"/>
    <w:rsid w:val="00AF564F"/>
    <w:rsid w:val="00B014A4"/>
    <w:rsid w:val="00B020F1"/>
    <w:rsid w:val="00B027BA"/>
    <w:rsid w:val="00B03D08"/>
    <w:rsid w:val="00B051E0"/>
    <w:rsid w:val="00B056FC"/>
    <w:rsid w:val="00B07929"/>
    <w:rsid w:val="00B1792F"/>
    <w:rsid w:val="00B251EA"/>
    <w:rsid w:val="00B5055C"/>
    <w:rsid w:val="00B5062B"/>
    <w:rsid w:val="00B5640B"/>
    <w:rsid w:val="00B57723"/>
    <w:rsid w:val="00B610BD"/>
    <w:rsid w:val="00B6242E"/>
    <w:rsid w:val="00B62896"/>
    <w:rsid w:val="00B63D56"/>
    <w:rsid w:val="00B66784"/>
    <w:rsid w:val="00B66DD3"/>
    <w:rsid w:val="00B73DF4"/>
    <w:rsid w:val="00B75FB6"/>
    <w:rsid w:val="00B806E0"/>
    <w:rsid w:val="00B810BC"/>
    <w:rsid w:val="00B82FF5"/>
    <w:rsid w:val="00B837E0"/>
    <w:rsid w:val="00B83CB1"/>
    <w:rsid w:val="00B84EF7"/>
    <w:rsid w:val="00B9042F"/>
    <w:rsid w:val="00B915FB"/>
    <w:rsid w:val="00B92EDC"/>
    <w:rsid w:val="00B95C9B"/>
    <w:rsid w:val="00B96ECC"/>
    <w:rsid w:val="00BA1CA3"/>
    <w:rsid w:val="00BA2055"/>
    <w:rsid w:val="00BA5689"/>
    <w:rsid w:val="00BA5C0A"/>
    <w:rsid w:val="00BA715A"/>
    <w:rsid w:val="00BA77AF"/>
    <w:rsid w:val="00BB2DC2"/>
    <w:rsid w:val="00BB2F44"/>
    <w:rsid w:val="00BB3862"/>
    <w:rsid w:val="00BB3F44"/>
    <w:rsid w:val="00BB54FE"/>
    <w:rsid w:val="00BC0255"/>
    <w:rsid w:val="00BC2FE6"/>
    <w:rsid w:val="00BC3CB9"/>
    <w:rsid w:val="00BC73DA"/>
    <w:rsid w:val="00BD243F"/>
    <w:rsid w:val="00BD550D"/>
    <w:rsid w:val="00BE3284"/>
    <w:rsid w:val="00BF00C0"/>
    <w:rsid w:val="00BF0EDA"/>
    <w:rsid w:val="00BF4DDA"/>
    <w:rsid w:val="00BF5055"/>
    <w:rsid w:val="00C01147"/>
    <w:rsid w:val="00C01CA1"/>
    <w:rsid w:val="00C037AF"/>
    <w:rsid w:val="00C03AEA"/>
    <w:rsid w:val="00C06CF8"/>
    <w:rsid w:val="00C07A2E"/>
    <w:rsid w:val="00C10368"/>
    <w:rsid w:val="00C122C4"/>
    <w:rsid w:val="00C154FF"/>
    <w:rsid w:val="00C23246"/>
    <w:rsid w:val="00C23306"/>
    <w:rsid w:val="00C23480"/>
    <w:rsid w:val="00C248A8"/>
    <w:rsid w:val="00C341A2"/>
    <w:rsid w:val="00C342B2"/>
    <w:rsid w:val="00C3713D"/>
    <w:rsid w:val="00C41168"/>
    <w:rsid w:val="00C5545E"/>
    <w:rsid w:val="00C57BCE"/>
    <w:rsid w:val="00C62877"/>
    <w:rsid w:val="00C6384F"/>
    <w:rsid w:val="00C64ADC"/>
    <w:rsid w:val="00C6663C"/>
    <w:rsid w:val="00C722F0"/>
    <w:rsid w:val="00C72AA9"/>
    <w:rsid w:val="00C739A1"/>
    <w:rsid w:val="00C74355"/>
    <w:rsid w:val="00C74EB3"/>
    <w:rsid w:val="00C77F93"/>
    <w:rsid w:val="00C81CC4"/>
    <w:rsid w:val="00C85073"/>
    <w:rsid w:val="00C94A2E"/>
    <w:rsid w:val="00CA04A7"/>
    <w:rsid w:val="00CA0E1C"/>
    <w:rsid w:val="00CA15A3"/>
    <w:rsid w:val="00CA4A55"/>
    <w:rsid w:val="00CA4D42"/>
    <w:rsid w:val="00CB52A8"/>
    <w:rsid w:val="00CB5CBF"/>
    <w:rsid w:val="00CC74BC"/>
    <w:rsid w:val="00CD2B3A"/>
    <w:rsid w:val="00CD3DBD"/>
    <w:rsid w:val="00CD41DD"/>
    <w:rsid w:val="00CD5828"/>
    <w:rsid w:val="00CD66F2"/>
    <w:rsid w:val="00CE38FE"/>
    <w:rsid w:val="00CE593A"/>
    <w:rsid w:val="00CE5B95"/>
    <w:rsid w:val="00CF188D"/>
    <w:rsid w:val="00CF22D8"/>
    <w:rsid w:val="00CF383D"/>
    <w:rsid w:val="00CF3D79"/>
    <w:rsid w:val="00CF4B14"/>
    <w:rsid w:val="00D01D1D"/>
    <w:rsid w:val="00D034EA"/>
    <w:rsid w:val="00D03B79"/>
    <w:rsid w:val="00D0488C"/>
    <w:rsid w:val="00D062C9"/>
    <w:rsid w:val="00D07B99"/>
    <w:rsid w:val="00D115E3"/>
    <w:rsid w:val="00D12361"/>
    <w:rsid w:val="00D12991"/>
    <w:rsid w:val="00D13559"/>
    <w:rsid w:val="00D21E21"/>
    <w:rsid w:val="00D22B22"/>
    <w:rsid w:val="00D241E3"/>
    <w:rsid w:val="00D2438F"/>
    <w:rsid w:val="00D26D7A"/>
    <w:rsid w:val="00D27276"/>
    <w:rsid w:val="00D3330D"/>
    <w:rsid w:val="00D34E8A"/>
    <w:rsid w:val="00D35741"/>
    <w:rsid w:val="00D363B9"/>
    <w:rsid w:val="00D41443"/>
    <w:rsid w:val="00D414C6"/>
    <w:rsid w:val="00D472C0"/>
    <w:rsid w:val="00D51536"/>
    <w:rsid w:val="00D5218A"/>
    <w:rsid w:val="00D52328"/>
    <w:rsid w:val="00D53E92"/>
    <w:rsid w:val="00D5656B"/>
    <w:rsid w:val="00D60CB9"/>
    <w:rsid w:val="00D60D59"/>
    <w:rsid w:val="00D62E55"/>
    <w:rsid w:val="00D64827"/>
    <w:rsid w:val="00D65092"/>
    <w:rsid w:val="00D668BA"/>
    <w:rsid w:val="00D67123"/>
    <w:rsid w:val="00D7023B"/>
    <w:rsid w:val="00D74722"/>
    <w:rsid w:val="00D76EBD"/>
    <w:rsid w:val="00D775E7"/>
    <w:rsid w:val="00D776A3"/>
    <w:rsid w:val="00D81373"/>
    <w:rsid w:val="00D8147F"/>
    <w:rsid w:val="00D82E81"/>
    <w:rsid w:val="00D84BC2"/>
    <w:rsid w:val="00D91D3C"/>
    <w:rsid w:val="00D95B94"/>
    <w:rsid w:val="00D95CAB"/>
    <w:rsid w:val="00D95D9D"/>
    <w:rsid w:val="00DA23A1"/>
    <w:rsid w:val="00DA3FC0"/>
    <w:rsid w:val="00DA4181"/>
    <w:rsid w:val="00DB1FFD"/>
    <w:rsid w:val="00DB220B"/>
    <w:rsid w:val="00DB6957"/>
    <w:rsid w:val="00DB7472"/>
    <w:rsid w:val="00DB7B57"/>
    <w:rsid w:val="00DC19EB"/>
    <w:rsid w:val="00DC396F"/>
    <w:rsid w:val="00DC3E62"/>
    <w:rsid w:val="00DC6900"/>
    <w:rsid w:val="00DD0398"/>
    <w:rsid w:val="00DD05CF"/>
    <w:rsid w:val="00DD18AA"/>
    <w:rsid w:val="00DD23D8"/>
    <w:rsid w:val="00DD2597"/>
    <w:rsid w:val="00DD3A14"/>
    <w:rsid w:val="00DD403D"/>
    <w:rsid w:val="00DD6BC3"/>
    <w:rsid w:val="00DD7919"/>
    <w:rsid w:val="00DD79E1"/>
    <w:rsid w:val="00DE603C"/>
    <w:rsid w:val="00DF2B8D"/>
    <w:rsid w:val="00DF3BCF"/>
    <w:rsid w:val="00DF514B"/>
    <w:rsid w:val="00DF7E51"/>
    <w:rsid w:val="00E019BF"/>
    <w:rsid w:val="00E02938"/>
    <w:rsid w:val="00E0315A"/>
    <w:rsid w:val="00E04A46"/>
    <w:rsid w:val="00E10917"/>
    <w:rsid w:val="00E110A3"/>
    <w:rsid w:val="00E1181C"/>
    <w:rsid w:val="00E12141"/>
    <w:rsid w:val="00E14A81"/>
    <w:rsid w:val="00E2009C"/>
    <w:rsid w:val="00E200B1"/>
    <w:rsid w:val="00E21F70"/>
    <w:rsid w:val="00E22138"/>
    <w:rsid w:val="00E22712"/>
    <w:rsid w:val="00E23DCB"/>
    <w:rsid w:val="00E24F16"/>
    <w:rsid w:val="00E27F30"/>
    <w:rsid w:val="00E3123A"/>
    <w:rsid w:val="00E32110"/>
    <w:rsid w:val="00E36452"/>
    <w:rsid w:val="00E4215A"/>
    <w:rsid w:val="00E43F7E"/>
    <w:rsid w:val="00E44188"/>
    <w:rsid w:val="00E44BC5"/>
    <w:rsid w:val="00E45893"/>
    <w:rsid w:val="00E46732"/>
    <w:rsid w:val="00E5287F"/>
    <w:rsid w:val="00E540BC"/>
    <w:rsid w:val="00E55468"/>
    <w:rsid w:val="00E56272"/>
    <w:rsid w:val="00E57673"/>
    <w:rsid w:val="00E620AB"/>
    <w:rsid w:val="00E620EA"/>
    <w:rsid w:val="00E621AC"/>
    <w:rsid w:val="00E6458B"/>
    <w:rsid w:val="00E66B72"/>
    <w:rsid w:val="00E7114D"/>
    <w:rsid w:val="00E724E7"/>
    <w:rsid w:val="00E72FB2"/>
    <w:rsid w:val="00E80A3D"/>
    <w:rsid w:val="00E831AF"/>
    <w:rsid w:val="00E83E68"/>
    <w:rsid w:val="00E855A2"/>
    <w:rsid w:val="00E867D6"/>
    <w:rsid w:val="00E869D8"/>
    <w:rsid w:val="00E86FF3"/>
    <w:rsid w:val="00E9354C"/>
    <w:rsid w:val="00E93790"/>
    <w:rsid w:val="00E94638"/>
    <w:rsid w:val="00E94906"/>
    <w:rsid w:val="00EA04B6"/>
    <w:rsid w:val="00EA1B87"/>
    <w:rsid w:val="00EA311F"/>
    <w:rsid w:val="00EA365F"/>
    <w:rsid w:val="00EA3D0E"/>
    <w:rsid w:val="00EA525B"/>
    <w:rsid w:val="00EA66C7"/>
    <w:rsid w:val="00EB10CD"/>
    <w:rsid w:val="00EB276F"/>
    <w:rsid w:val="00EB4641"/>
    <w:rsid w:val="00EB4E84"/>
    <w:rsid w:val="00EB4ED3"/>
    <w:rsid w:val="00EB64C3"/>
    <w:rsid w:val="00EB69C4"/>
    <w:rsid w:val="00EC2D6A"/>
    <w:rsid w:val="00EC46BA"/>
    <w:rsid w:val="00EC4758"/>
    <w:rsid w:val="00EC5343"/>
    <w:rsid w:val="00EC7E78"/>
    <w:rsid w:val="00ED11F6"/>
    <w:rsid w:val="00ED34B4"/>
    <w:rsid w:val="00ED60CC"/>
    <w:rsid w:val="00EE0396"/>
    <w:rsid w:val="00EE2069"/>
    <w:rsid w:val="00EE3E7F"/>
    <w:rsid w:val="00EE4DAA"/>
    <w:rsid w:val="00EF401B"/>
    <w:rsid w:val="00EF7731"/>
    <w:rsid w:val="00EF7F52"/>
    <w:rsid w:val="00F10039"/>
    <w:rsid w:val="00F15195"/>
    <w:rsid w:val="00F1694B"/>
    <w:rsid w:val="00F17AE3"/>
    <w:rsid w:val="00F23C53"/>
    <w:rsid w:val="00F26566"/>
    <w:rsid w:val="00F30F56"/>
    <w:rsid w:val="00F33ED5"/>
    <w:rsid w:val="00F41F8C"/>
    <w:rsid w:val="00F420EC"/>
    <w:rsid w:val="00F423C0"/>
    <w:rsid w:val="00F44176"/>
    <w:rsid w:val="00F5046B"/>
    <w:rsid w:val="00F50D98"/>
    <w:rsid w:val="00F549D6"/>
    <w:rsid w:val="00F63328"/>
    <w:rsid w:val="00F64810"/>
    <w:rsid w:val="00F65358"/>
    <w:rsid w:val="00F66267"/>
    <w:rsid w:val="00F76706"/>
    <w:rsid w:val="00F76D95"/>
    <w:rsid w:val="00F778D1"/>
    <w:rsid w:val="00F81126"/>
    <w:rsid w:val="00F846DD"/>
    <w:rsid w:val="00F87E6B"/>
    <w:rsid w:val="00F9118A"/>
    <w:rsid w:val="00F9162E"/>
    <w:rsid w:val="00F93BE9"/>
    <w:rsid w:val="00F94BD0"/>
    <w:rsid w:val="00F9645A"/>
    <w:rsid w:val="00FA2BBD"/>
    <w:rsid w:val="00FB1B45"/>
    <w:rsid w:val="00FB31B1"/>
    <w:rsid w:val="00FB48B6"/>
    <w:rsid w:val="00FC03BE"/>
    <w:rsid w:val="00FC0EB8"/>
    <w:rsid w:val="00FC2133"/>
    <w:rsid w:val="00FC39EB"/>
    <w:rsid w:val="00FC5A71"/>
    <w:rsid w:val="00FD0C7A"/>
    <w:rsid w:val="00FD13BD"/>
    <w:rsid w:val="00FD1D9D"/>
    <w:rsid w:val="00FD2985"/>
    <w:rsid w:val="00FD59F2"/>
    <w:rsid w:val="00FE054C"/>
    <w:rsid w:val="00FE5DEE"/>
    <w:rsid w:val="00FE641A"/>
    <w:rsid w:val="00FF1ABA"/>
    <w:rsid w:val="00FF5E85"/>
    <w:rsid w:val="00FF7ABD"/>
    <w:rsid w:val="00FF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68B0"/>
  <w15:chartTrackingRefBased/>
  <w15:docId w15:val="{7845CBC1-3C0F-4BE3-82CE-09BB4AE4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4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758"/>
  </w:style>
  <w:style w:type="character" w:styleId="Hyperlink">
    <w:name w:val="Hyperlink"/>
    <w:basedOn w:val="DefaultParagraphFont"/>
    <w:uiPriority w:val="99"/>
    <w:unhideWhenUsed/>
    <w:rsid w:val="00EC4758"/>
    <w:rPr>
      <w:color w:val="0000FF"/>
      <w:u w:val="single"/>
    </w:rPr>
  </w:style>
  <w:style w:type="table" w:styleId="TableGridLight">
    <w:name w:val="Grid Table Light"/>
    <w:basedOn w:val="TableNormal"/>
    <w:uiPriority w:val="40"/>
    <w:rsid w:val="00EC47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C4758"/>
    <w:pPr>
      <w:ind w:left="720"/>
      <w:contextualSpacing/>
    </w:pPr>
  </w:style>
  <w:style w:type="paragraph" w:styleId="NormalWeb">
    <w:name w:val="Normal (Web)"/>
    <w:basedOn w:val="Normal"/>
    <w:uiPriority w:val="99"/>
    <w:unhideWhenUsed/>
    <w:rsid w:val="00EC47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11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5.co.uk/barristers/profile/simon-randle" TargetMode="External"/><Relationship Id="rId13" Type="http://schemas.openxmlformats.org/officeDocument/2006/relationships/hyperlink" Target="mailto:clerks@4-5.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4-5.co.uk/barristers/profile/vivienne-sedgle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4-5.co.uk/barristers/profile/simon-rand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ilii.org/cgi-bin/format.cgi?doc=/ew/cases/EWHC/Admin/2023/1710.html&amp;query=(boswell)" TargetMode="External"/><Relationship Id="rId4" Type="http://schemas.openxmlformats.org/officeDocument/2006/relationships/webSettings" Target="webSettings.xml"/><Relationship Id="rId9" Type="http://schemas.openxmlformats.org/officeDocument/2006/relationships/hyperlink" Target="https://www.4-5.co.uk/barristers/profile/vivienne-sedgle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4-5.co.uk" TargetMode="External"/><Relationship Id="rId1" Type="http://schemas.openxmlformats.org/officeDocument/2006/relationships/hyperlink" Target="mailto:clerks@4-5.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5465</Characters>
  <Application>Microsoft Office Word</Application>
  <DocSecurity>4</DocSecurity>
  <Lines>101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Sedgley</dc:creator>
  <cp:keywords/>
  <dc:description/>
  <cp:lastModifiedBy>Emily Martin</cp:lastModifiedBy>
  <cp:revision>2</cp:revision>
  <dcterms:created xsi:type="dcterms:W3CDTF">2023-07-27T09:49:00Z</dcterms:created>
  <dcterms:modified xsi:type="dcterms:W3CDTF">2023-07-27T09:49:00Z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4d2f83b8f1a30d2f2b82101a663c355919907f9ed37522acf7d3e9eb2c02d89c</vt:lpwstr>
  </property>
</Properties>
</file>